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34 EMRK — Individualbeschwerden</w:t>
      </w:r>
    </w:p>
    <w:p>
      <w:r>
        <w:rPr>
          <w:color w:val="555555"/>
          <w:sz w:val="18"/>
        </w:rPr>
        <w:t xml:space="preserve">EMRK</w:t>
      </w:r>
    </w:p>
    <w:p>
      <w:r>
        <w:rPr>
          <w:color w:val="555555"/>
          <w:sz w:val="18"/>
        </w:rPr>
        <w:t xml:space="preserve">Stand: 27.07.2026 (konsolidierte Textfassung, kein amtliches Inkrafttretensdatum)</w:t>
      </w:r>
    </w:p>
    <w:p>
      <w:r>
        <w:t xml:space="preserve">Der Gerichtshof kann von jeder natürlichen Person, nichtstaatlichen Organisation oder Personengruppe, die behauptet, durch eine der Hohen Vertragsparteien in einem der in dieser Konvention oder den Protokollen dazu anerkannten Rechte verletzt zu sein, mit einer Beschwerde befasst werden. Die Hohen Vertragsparteien verpflichten sich, die wirksame Ausübung dieses Rechts nicht zu behindern.</w:t>
      </w:r>
    </w:p>
    <w:p>
      <w:r>
        <w:rPr>
          <w:color w:val="555555"/>
          <w:sz w:val="17"/>
        </w:rPr>
        <w:t xml:space="preserve">Zitiervorschlag: Art 34 EMRK</w:t>
      </w:r>
    </w:p>
    <w:p>
      <w:r>
        <w:rPr>
          <w:color w:val="555555"/>
          <w:sz w:val="17"/>
        </w:rPr>
        <w:t xml:space="preserve">Quelle: Bundesministerium der Justiz, abgerufen 27.07.2026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https://recht.nulegal.eu/gesetze/EMRK/34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