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33 EMRK — Staatenbeschwerden</w:t>
      </w:r>
    </w:p>
    <w:p>
      <w:r>
        <w:rPr>
          <w:color w:val="555555"/>
          <w:sz w:val="18"/>
        </w:rPr>
        <w:t xml:space="preserve">EMRK</w:t>
      </w:r>
    </w:p>
    <w:p>
      <w:r>
        <w:rPr>
          <w:color w:val="555555"/>
          <w:sz w:val="18"/>
        </w:rPr>
        <w:t xml:space="preserve">Stand: 27.07.2026 (konsolidierte Textfassung, kein amtliches Inkrafttretensdatum)</w:t>
      </w:r>
    </w:p>
    <w:p>
      <w:r>
        <w:t xml:space="preserve">Jede Hohe Vertragspartei kann den Gerichtshof wegen jeder behaupteten Verletzung dieser Konvention und der Protokolle dazu durch eine andere Hohe Vertragspartei anrufen.</w:t>
      </w:r>
    </w:p>
    <w:p>
      <w:r>
        <w:rPr>
          <w:color w:val="555555"/>
          <w:sz w:val="17"/>
        </w:rPr>
        <w:t xml:space="preserve">Zitiervorschlag: Art 33 EMRK</w:t>
      </w:r>
    </w:p>
    <w:p>
      <w:r>
        <w:rPr>
          <w:color w:val="555555"/>
          <w:sz w:val="17"/>
        </w:rPr>
        <w:t xml:space="preserve">Quelle: Bundesministerium der Justiz, abgerufen 27.07.2026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https://recht.nulegal.eu/gesetze/EMRK/33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