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EMRK — Abgabe der Rechtssache an die Große Kammer</w:t>
      </w:r>
    </w:p>
    <w:p>
      <w:r>
        <w:rPr>
          <w:color w:val="555555"/>
          <w:sz w:val="18"/>
        </w:rPr>
        <w:t xml:space="preserve">EMRK</w:t>
      </w:r>
    </w:p>
    <w:p>
      <w:r>
        <w:rPr>
          <w:color w:val="555555"/>
          <w:sz w:val="18"/>
        </w:rPr>
        <w:t xml:space="preserve">Stand: 27.07.2026 (konsolidierte Textfassung, kein amtliches Inkrafttretensdatum)</w:t>
      </w:r>
    </w:p>
    <w:p>
      <w:r>
        <w:t xml:space="preserve">Wirft eine bei einer Kammer anhängige Rechtssache eine schwerwiegende Frage der Auslegung dieser Konvention oder der Protokolle dazu auf oder kann die Entscheidung einer ihr vorliegenden Frage zu einer Abweichung von einem früheren Urteil des Gerichtshofs führen, so kann die Kammer diese Sache jederzeit, bevor sie ihr Urteil gefällt hat, an die Große Kammer abgeben.</w:t>
      </w:r>
    </w:p>
    <w:p>
      <w:r>
        <w:rPr>
          <w:color w:val="555555"/>
          <w:sz w:val="17"/>
        </w:rPr>
        <w:t xml:space="preserve">Zitiervorschlag: Art 30 EMRK</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https://recht.nulegal.eu/gesetze/EMRK/30</w:t>
      </w:r>
    </w:p>
    <w:p>
      <w:r>
        <w:rPr>
          <w:color w:val="767676"/>
          <w:sz w:val="15"/>
        </w:rPr>
        <w:t xml:space="preserve">nu:legal · recht.nulegal.eu · Nicht-amtliche Lesefassung. Verbindlich ist die amtliche Fassung.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