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28 EMRK — Befugnisse der Ausschüsse</w:t>
      </w:r>
    </w:p>
    <w:p>
      <w:r>
        <w:rPr>
          <w:color w:val="555555"/>
          <w:sz w:val="18"/>
        </w:rPr>
        <w:t xml:space="preserve">EMRK</w:t>
      </w:r>
    </w:p>
    <w:p>
      <w:r>
        <w:rPr>
          <w:color w:val="555555"/>
          <w:sz w:val="18"/>
        </w:rPr>
        <w:t xml:space="preserve">Stand: 27.07.2026 (konsolidierte Textfassung, kein amtliches Inkrafttretensdatum)</w:t>
      </w:r>
    </w:p>
    <w:p>
      <w:r>
        <w:t xml:space="preserve">(1) Ein Ausschuss, der mit einer nach Artikel 34 erhobenen Beschwerde befasst wird, kann diese durch einstimmigen Beschluss</w:t>
      </w:r>
    </w:p>
    <w:p>
      <w:r>
        <w:t xml:space="preserve">a) für unzulässig erklären oder im Register streichen, wenn eine solche Entscheidung ohne weitere Prüfung getroffen werden kann; oder</w:t>
      </w:r>
    </w:p>
    <w:p>
      <w:r>
        <w:t xml:space="preserve">b) für zulässig erklären und zugleich ein Urteil über die Begründetheit fällen, sofern die der Rechtssache zugrunde liegende Frage der Auslegung oder Anwendung dieser Konvention oder der Protokolle dazu Gegenstand einer gefestigten Rechtsprechung des Gerichtshofs ist.</w:t>
      </w:r>
    </w:p>
    <w:p>
      <w:r>
        <w:t xml:space="preserve">(2) Die Entscheidungen und Urteile nach Absatz 1 sind endgültig.</w:t>
      </w:r>
    </w:p>
    <w:p>
      <w:r>
        <w:t xml:space="preserve">(3) Ist der für die als Partei beteiligte Hohe Vertragspartei gewählte Richter nicht Mitglied des Ausschusses, so kann er von Letzterem jederzeit während des Verfahrens eingeladen werden, den Sitz eines Mitglieds im Ausschuss einzunehmen; der Ausschuss hat dabei alle erheblichen Umstände einschließlich der Frage, ob diese Vertragspartei der Anwendung des Verfahrens nach Absatz 1 Buchstabe b entgegengetreten ist, zu berücksichtigen.</w:t>
      </w:r>
    </w:p>
    <w:p>
      <w:r>
        <w:rPr>
          <w:color w:val="555555"/>
          <w:sz w:val="17"/>
        </w:rPr>
        <w:t xml:space="preserve">Zitiervorschlag: Art 28 EMRK</w:t>
      </w:r>
    </w:p>
    <w:p>
      <w:r>
        <w:rPr>
          <w:color w:val="555555"/>
          <w:sz w:val="17"/>
        </w:rPr>
        <w:t xml:space="preserve">Quelle: Bundesministerium der Justiz, abgerufen 27.07.2026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https://recht.nulegal.eu/gesetze/EMRK/28</w:t>
      </w:r>
    </w:p>
    <w:p>
      <w:r>
        <w:rPr>
          <w:color w:val="767676"/>
          <w:sz w:val="15"/>
        </w:rPr>
        <w:t xml:space="preserve">nu:legal · recht.nulegal.eu · Nicht-amtliche Lesefassung. Verbindlich ist die amtliche Fassung.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