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EMRK — Kanzlei und Berichterstatter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(1) Der Gerichtshof hat eine Kanzlei, deren Aufgaben und Organisation in der Verfahrensordnung des Gerichtshofs festgelegt werden.</w:t>
      </w:r>
    </w:p>
    <w:p>
      <w:r>
        <w:t xml:space="preserve">(2) Wenn der Gerichtshof in Einzelrichterbesetzung tagt, wird er von Berichterstattern unterstützt, die ihre Aufgaben unter der Aufsicht des Präsidenten des Gerichtshofs ausüben. Sie gehören der Kanzlei des Gerichtshofs an.</w:t>
      </w:r>
    </w:p>
    <w:p>
      <w:r>
        <w:rPr>
          <w:color w:val="555555"/>
          <w:sz w:val="17"/>
        </w:rPr>
        <w:t xml:space="preserve">Zitiervorschlag: Art 24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https://recht.nulegal.eu/gesetze/EMRK/24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