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23 EMRK — Amtszeit und Entlassung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(1) Die Richter werden für neun Jahre gewählt. Ihre Wiederwahl ist nicht zulässig.</w:t>
      </w:r>
    </w:p>
    <w:p>
      <w:r>
        <w:t xml:space="preserve">(2) Die Richter bleiben bis zum Amtsantritt ihrer Nachfolger im Amt. Sie bleiben jedoch in den Rechtssachen tätig, mit denen sie bereits befasst sind.</w:t>
      </w:r>
    </w:p>
    <w:p>
      <w:r>
        <w:t xml:space="preserve">(3) Ein Richter kann nur entlassen werden, wenn die anderen Richter mit Zweidrittelmehrheit entscheiden, dass er die erforderlichen Voraussetzungen nicht mehr erfüllt.</w:t>
      </w:r>
    </w:p>
    <w:p>
      <w:r>
        <w:rPr>
          <w:color w:val="555555"/>
          <w:sz w:val="17"/>
        </w:rPr>
        <w:t xml:space="preserve">Zitiervorschlag: Art 23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