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EMRK — Voraussetzungen für das Amt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Die Richter müssen hohes sittliches Ansehen genießen und entweder die für die Ausübung hoher richterlicher Ämter erforderlichen Voraussetzungen erfüllen oder Rechtsgelehrte von anerkanntem Ruf sein.</w:t>
      </w:r>
    </w:p>
    <w:p>
      <w:r>
        <w:t xml:space="preserve">(2) Die Kandidaten dürfen zu dem Zeitpunkt, zu dem die Liste von drei Kandidaten nach Artikel 22 bei der Parlamentarischen Versammlung eingehen soll, das 65. Lebensjahr nicht vollendet haben.</w:t>
      </w:r>
    </w:p>
    <w:p>
      <w:r>
        <w:t xml:space="preserve">(3) Die Richter gehören dem Gerichtshof in ihrer persönlichen Eigenschaft an.</w:t>
      </w:r>
    </w:p>
    <w:p>
      <w:r>
        <w:t xml:space="preserve">(4) Während ihrer Amtszeit dürfen die Richter keine Tätigkeit ausüben, die mit ihrer Unabhängigkeit, ihrer Unparteilichkeit oder mit den Erfordernissen der Vollzeitbeschäftigung in diesem Amt unvereinbar ist; alle Fragen, die sich aus der Anwendung dieses Absatzes ergeben, werden vom Gerichtshof entschieden.</w:t>
      </w:r>
    </w:p>
    <w:p>
      <w:r>
        <w:rPr>
          <w:color w:val="555555"/>
          <w:sz w:val="17"/>
        </w:rPr>
        <w:t xml:space="preserve">Zitiervorschlag: Art 21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https://recht.nulegal.eu/gesetze/EMRK/21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