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18 EMRK — Begrenzung der Rechtseinschränkungen</w:t>
      </w:r>
    </w:p>
    <w:p>
      <w:r>
        <w:rPr>
          <w:color w:val="555555"/>
          <w:sz w:val="18"/>
        </w:rPr>
        <w:t xml:space="preserve">EMRK</w:t>
      </w:r>
    </w:p>
    <w:p>
      <w:r>
        <w:rPr>
          <w:color w:val="555555"/>
          <w:sz w:val="18"/>
        </w:rPr>
        <w:t xml:space="preserve">Stand: 27.07.2026 (konsolidierte Textfassung, kein amtliches Inkrafttretensdatum)</w:t>
      </w:r>
    </w:p>
    <w:p>
      <w:r>
        <w:t xml:space="preserve">Die nach dieser Konvention zulässigen Einschränkungen der genannten Rechte und Freiheiten dürfen nur zu den vorgesehenen Zwecken erfolgen.</w:t>
      </w:r>
    </w:p>
    <w:p>
      <w:r>
        <w:rPr>
          <w:color w:val="555555"/>
          <w:sz w:val="17"/>
        </w:rPr>
        <w:t xml:space="preserve">Zitiervorschlag: Art 18 EMRK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