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EMRK — Abweichen im Notstandsfall</w:t>
      </w:r>
    </w:p>
    <w:p>
      <w:r>
        <w:rPr>
          <w:color w:val="555555"/>
          <w:sz w:val="18"/>
        </w:rPr>
        <w:t xml:space="preserve">EMRK</w:t>
      </w:r>
    </w:p>
    <w:p>
      <w:r>
        <w:rPr>
          <w:color w:val="555555"/>
          <w:sz w:val="18"/>
        </w:rPr>
        <w:t xml:space="preserve">Stand: 27.07.2026 (konsolidierte Textfassung, kein amtliches Inkrafttretensdatum)</w:t>
      </w:r>
    </w:p>
    <w:p>
      <w:r>
        <w:t xml:space="preserve">(1) Wird das Leben der Nation durch Krieg oder einen anderen öffentlichen Notstand bedroht, so kann jede Hohe Vertragspartei Maßnahmen treffen, die von den in dieser Konvention vorgesehenen Verpflichtungen abweichen, jedoch nur, soweit es die Lage unbedingt erfordert und wenn die Maßnahmen nicht im Widerspruch zu den sonstigen völkerrechtlichen Verpflichtungen der Vertragspartei stehen.</w:t>
      </w:r>
    </w:p>
    <w:p>
      <w:r>
        <w:t xml:space="preserve">(2) Aufgrund des Absatzes 1 darf von Artikel 2 nur bei Todesfällen infolge rechtmäßiger Kriegshandlungen und von Artikel 3, Artikel 4 Absatz 1 und Artikel 7 in keinem Fall abgewichen werden.</w:t>
      </w:r>
    </w:p>
    <w:p>
      <w:r>
        <w:t xml:space="preserve">(3) Jede Hohe Vertragspartei, die dieses Recht auf Abweichung ausübt, unterrichtet den Generalsekretär des Europarats umfassend über die getroffenen Maßnahmen und deren Gründe. Sie unterrichtet den Generalsekretär des Europarats auch über den Zeitpunkt, zu dem diese Maßnahmen außer Kraft getreten sind und die Konvention wieder volle Anwendung findet.</w:t>
      </w:r>
    </w:p>
    <w:p>
      <w:r>
        <w:rPr>
          <w:color w:val="555555"/>
          <w:sz w:val="17"/>
        </w:rPr>
        <w:t xml:space="preserve">Zitiervorschlag: Art 15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https://recht.nulegal.eu/gesetze/EMRK/15</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