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 EMRK — Recht auf wirksame Beschwerde</w:t>
      </w:r>
    </w:p>
    <w:p>
      <w:r>
        <w:rPr>
          <w:color w:val="555555"/>
          <w:sz w:val="18"/>
        </w:rPr>
        <w:t xml:space="preserve">EMRK</w:t>
      </w:r>
    </w:p>
    <w:p>
      <w:r>
        <w:rPr>
          <w:color w:val="555555"/>
          <w:sz w:val="18"/>
        </w:rPr>
        <w:t xml:space="preserve">Stand: 27.07.2026 (konsolidierte Textfassung, kein amtliches Inkrafttretensdatum)</w:t>
      </w:r>
    </w:p>
    <w:p>
      <w:r>
        <w:t xml:space="preserve">Jede Person, die in ihren in dieser Konvention anerkannten Rechten oder Freiheiten verletzt worden ist, hat das Recht, bei einer innerstaatlichen Instanz eine wirksame Beschwerde zu erheben, auch wenn die Verletzung von Personen begangen worden ist, die in amtlicher Eigenschaft gehandelt haben.</w:t>
      </w:r>
    </w:p>
    <w:p>
      <w:r>
        <w:rPr>
          <w:color w:val="555555"/>
          <w:sz w:val="17"/>
        </w:rPr>
        <w:t xml:space="preserve">Zitiervorschlag: Art 13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