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EMRK-ZP6 — Aufgaben des Verwahrers</w:t>
      </w:r>
    </w:p>
    <w:p>
      <w:r>
        <w:rPr>
          <w:color w:val="555555"/>
          <w:sz w:val="18"/>
        </w:rPr>
        <w:t xml:space="preserve">EMRK-ZP6</w:t>
      </w:r>
    </w:p>
    <w:p>
      <w:r>
        <w:rPr>
          <w:color w:val="555555"/>
          <w:sz w:val="18"/>
        </w:rPr>
        <w:t xml:space="preserve">Stand: 28.07.2026 (konsolidierte Textfassung, kein amtliches Inkrafttretensdatum)</w:t>
      </w:r>
    </w:p>
    <w:p>
      <w:r>
        <w:t xml:space="preserve">Der Generalsekretär des Europarats notifiziert den Mitgliedstaaten des Rates</w:t>
      </w:r>
    </w:p>
    <w:p>
      <w:r>
        <w:t xml:space="preserve">a) jede Unterzeichnung;</w:t>
      </w:r>
    </w:p>
    <w:p>
      <w:r>
        <w:t xml:space="preserve">b) jede Hinterlegung einer Ratifikations-, Annahme- oder Genehmigungsurkunde;</w:t>
      </w:r>
    </w:p>
    <w:p>
      <w:r>
        <w:t xml:space="preserve">c) jeden Zeitpunkt des Inkrafttretens dieses Protokolls nach den Artikeln 5 und 8;</w:t>
      </w:r>
    </w:p>
    <w:p>
      <w:r>
        <w:t xml:space="preserve">d) jede andere Handlung, Notifikation oder Mitteilung im Zusammenhang mit diesem Protokoll.</w:t>
      </w:r>
    </w:p>
    <w:p>
      <w:r>
        <w:rPr>
          <w:color w:val="555555"/>
          <w:sz w:val="17"/>
        </w:rPr>
        <w:t xml:space="preserve">Zitiervorschlag: Art 9 EMRK-ZP6</w:t>
      </w:r>
    </w:p>
    <w:p>
      <w:r>
        <w:rPr>
          <w:color w:val="555555"/>
          <w:sz w:val="17"/>
        </w:rPr>
        <w:t xml:space="preserve">Quelle: Bundesministerium der Justiz, abgerufen 27.07.2026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https://recht.nulegal.eu/gesetze/EMRK-ZP6/9</w:t>
      </w:r>
    </w:p>
    <w:p>
      <w:r>
        <w:rPr>
          <w:color w:val="767676"/>
          <w:sz w:val="15"/>
        </w:rPr>
        <w:t xml:space="preserve">nu:legal · recht.nulegal.eu · Nicht-amtliche Lesefassung. Verbindlich ist die amtliche Fassung.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