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EMRK-ZP6 — Inkrafttreten</w:t>
      </w:r>
    </w:p>
    <w:p>
      <w:r>
        <w:rPr>
          <w:color w:val="555555"/>
          <w:sz w:val="18"/>
        </w:rPr>
        <w:t xml:space="preserve">EMRK-ZP6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(1) Dieses Protokoll tritt am ersten Tag des Monats in Kraft, der auf den Tag folgt, an dem fünf Mitgliedstaaten des Europarats nach Artikel 7 ihre Zustimmung ausgedrückt haben, durch das Protokoll gebunden zu sein.</w:t>
      </w:r>
    </w:p>
    <w:p>
      <w:r>
        <w:t xml:space="preserve">(2) Für jeden Mitgliedstaat, der später seine Zustimmung ausdrückt, durch das Protokoll gebunden zu sein, tritt es am ersten Tag des Monats in Kraft, der auf die Hinterlegung der Ratifikations-, Annahme- oder Genehmigungsurkunde folgt.</w:t>
      </w:r>
    </w:p>
    <w:p>
      <w:r>
        <w:rPr>
          <w:color w:val="555555"/>
          <w:sz w:val="17"/>
        </w:rPr>
        <w:t xml:space="preserve">Zitiervorschlag: Art 8 EMRK-ZP6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https://recht.nulegal.eu/gesetze/EMRK-ZP6/8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