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EMRK-ZP4 — Unterzeichnung und Ratifikation</w:t>
      </w:r>
    </w:p>
    <w:p>
      <w:r>
        <w:rPr>
          <w:color w:val="555555"/>
          <w:sz w:val="18"/>
        </w:rPr>
        <w:t xml:space="preserve">EMRK-ZP4</w:t>
      </w:r>
    </w:p>
    <w:p>
      <w:r>
        <w:rPr>
          <w:color w:val="555555"/>
          <w:sz w:val="18"/>
        </w:rPr>
        <w:t xml:space="preserve">Stand: 28.07.2026 (konsolidierte Textfassung, kein amtliches Inkrafttretensdatum)</w:t>
      </w:r>
    </w:p>
    <w:p>
      <w:r>
        <w:t xml:space="preserve">(1) Dieses Protokoll liegt für die Mitglieder des Europarats, die Unterzeichner der Konvention sind, zur Unterzeichnung auf; es wird gleichzeitig mit der Konvention oder zu einem späteren Zeitpunkt ratifiziert. Es tritt nach Hinterlegung von fünf Ratifikationsurkunden in Kraft. Für jeden Unterzeichner, der das Protokoll später ratifiziert, tritt es mit der Hinterlegung der Ratifikationsurkunde in Kraft.</w:t>
      </w:r>
    </w:p>
    <w:p>
      <w:r>
        <w:t xml:space="preserve">(2) Die Ratifikationsurkunden werden beim Generalsekretär des Europarats hinterlegt, der allen Mitgliedern die Namen derjenigen Staaten, die das Protokoll ratifiziert haben, notifiziert.</w:t>
      </w:r>
    </w:p>
    <w:p>
      <w:r>
        <w:rPr>
          <w:color w:val="555555"/>
          <w:sz w:val="17"/>
        </w:rPr>
        <w:t xml:space="preserve">Zitiervorschlag: Art 7 EMRK-ZP4</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https://recht.nulegal.eu/gesetze/EMRK-ZP4/7</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