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EMRK-ZP4 — Freizügigkeit</w:t>
      </w:r>
    </w:p>
    <w:p>
      <w:r>
        <w:rPr>
          <w:color w:val="555555"/>
          <w:sz w:val="18"/>
        </w:rPr>
        <w:t xml:space="preserve">EMRK-ZP4</w:t>
      </w:r>
    </w:p>
    <w:p>
      <w:r>
        <w:rPr>
          <w:color w:val="555555"/>
          <w:sz w:val="18"/>
        </w:rPr>
        <w:t xml:space="preserve">Stand: 28.07.2026 (konsolidierte Textfassung, kein amtliches Inkrafttretensdatum)</w:t>
      </w:r>
    </w:p>
    <w:p>
      <w:r>
        <w:t xml:space="preserve">(1) Jede Person, die sich rechtmäßig im Hoheitsgebiet eines Staates aufhält, hat das Recht, sich dort frei zu bewegen und ihren Wohnsitz frei zu wählen.</w:t>
      </w:r>
    </w:p>
    <w:p>
      <w:r>
        <w:t xml:space="preserve">(2) Jeder Person steht es frei, jedes Land, einschließlich des eigenen, zu verlassen.</w:t>
      </w:r>
    </w:p>
    <w:p>
      <w:r>
        <w:t xml:space="preserve">(3) Die Ausübung dieser Rechte darf nur Einschränkungen unterworfen werden, die gesetzlich vorgesehen und in einer demokratischen Gesellschaft notwendig sind für die nationale oder öffentliche Sicherheit, zur Aufrechterhaltung der öffentlichen Ordnung, zur Verhütung von Straftaten, zum Schutz der Gesundheit oder der Moral oder zum Schutz der Rechte und Freiheiten anderer.</w:t>
      </w:r>
    </w:p>
    <w:p>
      <w:r>
        <w:t xml:space="preserve">(4) Die in Absatz 1 anerkannten Rechte können ferner für bestimmte Gebiete Einschränkungen unterworfen werden, die gesetzlich vorgesehen und in einer demokratischen Gesellschaft durch das öffentliche Interesse gerechtfertigt sind.</w:t>
      </w:r>
    </w:p>
    <w:p>
      <w:r>
        <w:rPr>
          <w:color w:val="555555"/>
          <w:sz w:val="17"/>
        </w:rPr>
        <w:t xml:space="preserve">Zitiervorschlag: Art 2 EMRK-ZP4</w:t>
      </w:r>
    </w:p>
    <w:p>
      <w:r>
        <w:rPr>
          <w:color w:val="555555"/>
          <w:sz w:val="17"/>
        </w:rPr>
        <w:t xml:space="preserve">Quelle: Bundesministerium der Justiz, abgerufen 27.07.2026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https://recht.nulegal.eu/gesetze/EMRK-ZP4/2</w:t>
      </w:r>
    </w:p>
    <w:p>
      <w:r>
        <w:rPr>
          <w:color w:val="767676"/>
          <w:sz w:val="15"/>
        </w:rPr>
        <w:t xml:space="preserve">nu:legal · recht.nulegal.eu · Nicht-amtliche Lesefassung. Verbindlich ist die amtliche Fassung.</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