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EMRK-ZP13 — Aufgaben des Verwahrers</w:t>
      </w:r>
    </w:p>
    <w:p>
      <w:r>
        <w:rPr>
          <w:color w:val="555555"/>
          <w:sz w:val="18"/>
        </w:rPr>
        <w:t xml:space="preserve">EMRK-ZP13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Der Generalsekretär des Europarats notifiziert allen Mitgliedstaaten des Europarats</w:t>
      </w:r>
    </w:p>
    <w:p>
      <w:r>
        <w:t xml:space="preserve">a) jede Unterzeichnung;</w:t>
      </w:r>
    </w:p>
    <w:p>
      <w:r>
        <w:t xml:space="preserve">b) jede Hinterlegung einer Ratifikations-, Annahme- oder Genehmigungsurkunde;</w:t>
      </w:r>
    </w:p>
    <w:p>
      <w:r>
        <w:t xml:space="preserve">c) jeden Zeitpunkt des Inkrafttretens dieses Protokolls nach Artikel 4 und 7;</w:t>
      </w:r>
    </w:p>
    <w:p>
      <w:r>
        <w:t xml:space="preserve">d) jede andere Handlung, Notifikation oder Mitteilung im Zusammenhang mit diesem Protokoll.</w:t>
      </w:r>
    </w:p>
    <w:p>
      <w:r>
        <w:rPr>
          <w:color w:val="555555"/>
          <w:sz w:val="17"/>
        </w:rPr>
        <w:t xml:space="preserve">Zitiervorschlag: Art 8 EMRK-ZP13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https://recht.nulegal.eu/gesetze/EMRK-ZP13/8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