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EMRK-ZP13 — Räumlicher Geltungsbereich</w:t>
      </w:r>
    </w:p>
    <w:p>
      <w:r>
        <w:rPr>
          <w:color w:val="555555"/>
          <w:sz w:val="18"/>
        </w:rPr>
        <w:t xml:space="preserve">EMRK-ZP13</w:t>
      </w:r>
    </w:p>
    <w:p>
      <w:r>
        <w:rPr>
          <w:color w:val="555555"/>
          <w:sz w:val="18"/>
        </w:rPr>
        <w:t xml:space="preserve">Stand: 28.07.2026 (konsolidierte Textfassung, kein amtliches Inkrafttretensdatum)</w:t>
      </w:r>
    </w:p>
    <w:p>
      <w:r>
        <w:t xml:space="preserve">(1) Jeder Staat kann bei der Unterzeichnung oder bei der Hinterlegung der Ratifikations-, Annahme- oder Genehmigungsurkunde einzelne oder mehrere Hoheitsgebiete bezeichnen, auf die dieses Protokoll Anwendung findet.</w:t>
      </w:r>
    </w:p>
    <w:p>
      <w:r>
        <w:t xml:space="preserve">(2) Jeder Staat kann jederzeit danach durch eine an den Generalsekretär des Europarats gerichtete Erklärung die Anwendung dieses Protokolls auf jedes weitere in der Erklärung bezeichnete Hoheitsgebiet erstrecken. Das Protokoll tritt für dieses Hoheitsgebiet am ersten Tag des Monats in Kraft, der auf einen Zeitabschnitt von drei Monaten nach Eingang der Erklärung beim Generalsekretär folgt.</w:t>
      </w:r>
    </w:p>
    <w:p>
      <w:r>
        <w:t xml:space="preserve">(3) Jede nach den Absätzen 1 und 2 abgegebene Erklärung kann in Bezug auf jedes darin bezeichnete Hoheitsgebiet durch eine an den Generalsekretär gerichtete Notifikation zurückgenommen oder geändert werden. Die Rücknahme oder Änderung wird am ersten Tag des Monats wirksam, der auf einen Zeitabschnitt von drei Monaten nach Eingang der Notifikation beim Generalsekretär folgt.</w:t>
      </w:r>
    </w:p>
    <w:p>
      <w:r>
        <w:rPr>
          <w:color w:val="555555"/>
          <w:sz w:val="17"/>
        </w:rPr>
        <w:t xml:space="preserve">Zitiervorschlag: Art 4 EMRK-ZP13</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https://recht.nulegal.eu/gesetze/EMRK-ZP13/4</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