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Schlussformel EMRK-ZP1</w:t>
      </w:r>
    </w:p>
    <w:p>
      <w:r>
        <w:rPr>
          <w:color w:val="555555"/>
          <w:sz w:val="18"/>
        </w:rPr>
        <w:t xml:space="preserve">EMRK-ZP1</w:t>
      </w:r>
    </w:p>
    <w:p>
      <w:r>
        <w:rPr>
          <w:color w:val="555555"/>
          <w:sz w:val="18"/>
        </w:rPr>
        <w:t xml:space="preserve">Stand: 28.07.2026 (konsolidierte Textfassung, kein amtliches Inkrafttretensdatum)</w:t>
      </w:r>
    </w:p>
    <w:p>
      <w:r>
        <w:t xml:space="preserve">Geschehen zu Paris am 20 März 1952 in englischer und französischer Sprache, wobei jeder Wortlaut gleichermaßen verbindlich ist, in einer Urschrift, die im Archiv des Europarats hinterlegt wird. Der Generalsekretär übermittelt allen Unterzeichnerregierungen beglaubigte Abschriften.</w:t>
      </w:r>
    </w:p>
    <w:p>
      <w:r>
        <w:rPr>
          <w:color w:val="555555"/>
          <w:sz w:val="17"/>
        </w:rPr>
        <w:t xml:space="preserve">Zitiervorschlag: Schlussformel EMRK-ZP1</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https://recht.nulegal.eu/gesetze/EMRK-ZP1/schlussformel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