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EMRK-ZP1 — Räumlicher Geltungsbereich</w:t>
      </w:r>
    </w:p>
    <w:p>
      <w:r>
        <w:rPr>
          <w:color w:val="555555"/>
          <w:sz w:val="18"/>
        </w:rPr>
        <w:t xml:space="preserve">EMRK-ZP1</w:t>
      </w:r>
    </w:p>
    <w:p>
      <w:r>
        <w:rPr>
          <w:color w:val="555555"/>
          <w:sz w:val="18"/>
        </w:rPr>
        <w:t xml:space="preserve">Stand: 28.07.2026 (konsolidierte Textfassung, kein amtliches Inkrafttretensdatum)</w:t>
      </w:r>
    </w:p>
    <w:p>
      <w:r>
        <w:t xml:space="preserve">Jede Hohe Vertragspartei kann im Zeitpunkt der Unterzeichnung oder Ratifikation dieses Protokolls oder zu jedem späteren Zeitpunkt an den Generalsekretär des Europarats eine Erklärung darüber richten, in welchem Umfang sie sich zur Anwendung dieses Protokolls auf die in der Erklärung angegebenen Hoheitsgebiete verpflichtet, für deren internationale Beziehungen sie verantwortlich ist.</w:t>
      </w:r>
    </w:p>
    <w:p>
      <w:r>
        <w:t xml:space="preserve">Jede Hohe Vertragspartei, die eine Erklärung nach Absatz 1 abgegeben hat, kann jederzeit eine weitere Erklärung abgeben, die den Inhalt einer früheren Erklärung ändert oder die Anwendung der Bestimmungen dieses Protokolls auf irgendein Hoheitsgebiet beendet.</w:t>
      </w:r>
    </w:p>
    <w:p>
      <w:r>
        <w:t xml:space="preserve">Eine nach diesem Artikel abgegebene Erklärung gilt als eine Erklärung im Sinne des Artikels 56 Absatz 1 der Konvention.</w:t>
      </w:r>
    </w:p>
    <w:p>
      <w:r>
        <w:rPr>
          <w:color w:val="555555"/>
          <w:sz w:val="17"/>
        </w:rPr>
        <w:t xml:space="preserve">Zitiervorschlag: Art 4 EMRK-ZP1</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https://recht.nulegal.eu/gesetze/EMRK-ZP1/4</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