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EMFV — Besondere Festlegungen für die Überschreitung der oberen Auslöseschwelle für die Beeinflussung von implantierten aktiven oder am Körper getragenen medizinischen Geräten in statischen Magnetfeldern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der oberen Auslöseschwelle nach Anhang 2 Tabelle A2.10 hat der Arbeitgeber weitere Maßnahmen nach § 6 Absatz 2 zu ergreifen, um Gefährdungen der Beschäftigten mit implantierten aktiven oder am Körper getragenen medizinischen Geräten zu beseitigen oder zu minimieren. Dazu zählen insbesondere folgende Maßnahmen:</w:t>
      </w:r>
    </w:p>
    <w:p>
      <w:pPr>
        <w:ind w:left="420"/>
      </w:pPr>
      <w:r>
        <w:t xml:space="preserve">1. Bewertung der Einwirkung für den einzelnen Mitarbeiter auf der Grundlage von Informationen des Herstellers des implantierten aktiven medizinischen Gerätes und soweit möglich des behandelnden Arztes oder Arbeitsmediziners,</w:t>
      </w:r>
    </w:p>
    <w:p>
      <w:pPr>
        <w:ind w:left="420"/>
      </w:pPr>
      <w:r>
        <w:t xml:space="preserve">2. Zugangsbeschränkung zum betreffenden Arbeitsbereich insbesondere durch Kontroll- oder Absperrungsmaßnahmen und</w:t>
      </w:r>
    </w:p>
    <w:p>
      <w:pPr>
        <w:ind w:left="420"/>
      </w:pPr>
      <w:r>
        <w:t xml:space="preserve">3. betriebsorganisatorische Maßnahmen, insbesondere Schulung und Unterweisung, individuelle oder allgemeine Zugangsverbote.</w:t>
      </w:r>
    </w:p>
    <w:p>
      <w:r>
        <w:rPr>
          <w:color w:val="555555"/>
          <w:sz w:val="17"/>
        </w:rPr>
        <w:t xml:space="preserve">Zitiervorschlag: § 9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