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EMFV — Besondere Festlegungen für die Überschreitung der Auslöseschwellen für die Projektilwirkung von ferromagnetischen Gegenständen im Streufeld von Anlagen mit hohem statischen Magnetfeld (&gt; 100 Millitesla)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Überschreitung der unteren Auslöseschwellen für die Projektilwirkung von ferromagnetischen Gegenständen im Streufeld von Anlagen mit hohem statischen Magnetfeld (&gt; 100 Millitesla) nach Anhang 2 Tabelle A2.11 hat der Arbeitgeber die betreffenden Arbeitsbereiche nach § 6 Absatz 3 zu kennzeichnen.</w:t>
      </w:r>
    </w:p>
    <w:p>
      <w:r>
        <w:t xml:space="preserve">(2) Bei Überschreitung der oberen Auslöseschwellen für die Projektilwirkung von ferromagnetischen Gegenständen im Streufeld von Anlagen mit hohem statischen Magnetfeld (&gt; 100 Millitesla) nach Anhang 2 Tabelle A2.11 hat der Arbeitgeber weitere Maßnahmen nach § 6 Absatz 2 zu ergreifen, um Gefährdungen der Beschäftigten zu beseitigen oder zu minimieren. Dazu zählen insbesondere folgende Maßnahmen:</w:t>
      </w:r>
    </w:p>
    <w:p>
      <w:pPr>
        <w:ind w:left="420"/>
      </w:pPr>
      <w:r>
        <w:t xml:space="preserve">1. Bereitstellung und Verwendung von geeigneten nichtferromagnetischen Arbeitsmitteln,</w:t>
      </w:r>
    </w:p>
    <w:p>
      <w:pPr>
        <w:ind w:left="420"/>
      </w:pPr>
      <w:r>
        <w:t xml:space="preserve">2. Abschirmungen, Verriegelungen oder andere Sicherheitseinrichtungen,</w:t>
      </w:r>
    </w:p>
    <w:p>
      <w:pPr>
        <w:ind w:left="420"/>
      </w:pPr>
      <w:r>
        <w:t xml:space="preserve">3. Zugangskontrolle zum betreffenden Arbeitsbereich, erforderlichenfalls Einsatz von Detektoren für ferromagnetische Gegenstände und</w:t>
      </w:r>
    </w:p>
    <w:p>
      <w:pPr>
        <w:ind w:left="420"/>
      </w:pPr>
      <w:r>
        <w:t xml:space="preserve">4. betriebsorganisatorische Maßnahmen, insbesondere Schulung und Unterweisung sowie erforderlichenfalls Hinweise für Dritte, damit Beschäftigte nicht gefährdet werden.</w:t>
      </w:r>
    </w:p>
    <w:p>
      <w:r>
        <w:rPr>
          <w:color w:val="555555"/>
          <w:sz w:val="17"/>
        </w:rPr>
        <w:t xml:space="preserve">Zitiervorschlag: § 8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