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EMFV — Expositionsgrenzwerte und Auslöseschwellen für elektromagnetische Felder</w:t>
      </w:r>
    </w:p>
    <w:p>
      <w:r>
        <w:rPr>
          <w:color w:val="555555"/>
          <w:sz w:val="18"/>
        </w:rPr>
        <w:t xml:space="preserve">Arbeitsschutzverordnung zu elektromagnetischen Feldern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Expositionsgrenzwerte und Auslöseschwellen für elektromagnetische Felder sind in den Anhängen 2 und 3 festgelegt. Die zugehörigen physikalischen Größen sind in Anhang 1 festgelegt.</w:t>
      </w:r>
    </w:p>
    <w:p>
      <w:r>
        <w:rPr>
          <w:color w:val="555555"/>
          <w:sz w:val="17"/>
        </w:rPr>
        <w:t xml:space="preserve">Zitiervorschlag: § 5 EMFV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https://recht.nulegal.eu/gesetze/EMFV/5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