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EMFV — Straftaten und Ordnungswidrigkeiten</w:t>
      </w:r>
    </w:p>
    <w:p>
      <w:r>
        <w:rPr>
          <w:color w:val="555555"/>
          <w:sz w:val="18"/>
        </w:rPr>
        <w:t xml:space="preserve">Arbeitsschutzverordnung zu elektromagnetischen Feldern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im Sinne des § 25 Absatz 1 Nummer 1 des Arbeitsschutzgesetzes handelt, wer vorsätzlich oder fahrlässig</w:t>
      </w:r>
    </w:p>
    <w:p>
      <w:pPr>
        <w:ind w:left="420"/>
      </w:pPr>
      <w:r>
        <w:t xml:space="preserve">1. entgegen § 3 Absatz 5 Satz 1 eine Gefährdungsbeurteilung oder eine dort genannte Maßnahme nicht, nicht richtig, nicht in der vorgeschriebenen Weise oder nicht rechtzeitig durchführt,</w:t>
      </w:r>
    </w:p>
    <w:p>
      <w:pPr>
        <w:ind w:left="420"/>
      </w:pPr>
      <w:r>
        <w:t xml:space="preserve">2. entgegen § 3 Absatz 6 Satz 1 eine Dokumentation nicht, nicht richtig, nicht vollständig, nicht in der vorgeschriebenen Weise oder nicht rechtzeitig erstellt,</w:t>
      </w:r>
    </w:p>
    <w:p>
      <w:pPr>
        <w:ind w:left="420"/>
      </w:pPr>
      <w:r>
        <w:t xml:space="preserve">3. entgegen § 3 Absatz 6 Satz 5 ein Ergebnis nicht oder nicht mindestens 20 Jahre aufbewahrt,</w:t>
      </w:r>
    </w:p>
    <w:p>
      <w:pPr>
        <w:ind w:left="420"/>
      </w:pPr>
      <w:r>
        <w:t xml:space="preserve">4. entgegen § 3 Absatz 7 dort genannte Erfordernisse nicht, nicht richtig oder nicht rechtzeitig berücksichtigt,</w:t>
      </w:r>
    </w:p>
    <w:p>
      <w:pPr>
        <w:ind w:left="420"/>
      </w:pPr>
      <w:r>
        <w:t xml:space="preserve">5. entgegen § 4 Absatz 1 Satz 1 nicht sicherstellt, dass eine dort genannte Gefährdungsbeurteilung, Messung, Berechnung oder Bewertung geplant oder durchgeführt wird,</w:t>
      </w:r>
    </w:p>
    <w:p>
      <w:pPr>
        <w:ind w:left="420"/>
      </w:pPr>
      <w:r>
        <w:t xml:space="preserve">6. entgegen § 6 Absatz 1 Satz 3, § 12 Nummer 2 Buchstabe b, § 13 Nummer 2, § 15 Absatz 1 Nummer 1 oder § 16 Nummer 1 nicht dafür sorgt, dass dort genannte Expositionsgrenzwerte eingehalten werden oder eine Gefährdung vermieden oder verringert wird,</w:t>
      </w:r>
    </w:p>
    <w:p>
      <w:pPr>
        <w:ind w:left="420"/>
      </w:pPr>
      <w:r>
        <w:t xml:space="preserve">7. entgegen § 6 Absatz 3 Satz 1 einen Arbeitsbereich nicht oder nicht richtig kennzeichnet,</w:t>
      </w:r>
    </w:p>
    <w:p>
      <w:pPr>
        <w:ind w:left="420"/>
      </w:pPr>
      <w:r>
        <w:t xml:space="preserve">8. entgegen § 6 Absatz 3 Satz 4 einen Arbeitsbereich nicht oder nicht richtig abgrenzt,</w:t>
      </w:r>
    </w:p>
    <w:p>
      <w:pPr>
        <w:ind w:left="420"/>
      </w:pPr>
      <w:r>
        <w:t xml:space="preserve">9. entgegen § 8 Absatz 2 Satz 1 oder § 9 Satz 1 eine Maßnahme nicht, nicht richtig oder nicht rechtzeitig ergreift,</w:t>
      </w:r>
    </w:p>
    <w:p>
      <w:pPr>
        <w:ind w:left="420"/>
      </w:pPr>
      <w:r>
        <w:t xml:space="preserve">10. entgegen § 10 Nummer 1 oder 2 Buchstabe c, § 12 Nummer 1, § 14 Nummer 2 oder § 17 Nummer 2 nicht dafür sorgt, dass dort genannte Expositionsgrenzwerte nicht überschritten werden,</w:t>
      </w:r>
    </w:p>
    <w:p>
      <w:pPr>
        <w:ind w:left="420"/>
      </w:pPr>
      <w:r>
        <w:t xml:space="preserve">11. entgegen § 10 Nummer 2 Buchstabe a Satzteil vor Satz 2, Buchstabe b Satzteil vor Satz 2, § 12 Nummer 2 Buchstabe c, § 13 Nummer 3, § 15 Absatz 1 Nummer 2 oder § 16 Nummer 2 nicht dafür sorgt, dass eine Gefährdung ausgeschlossen, beseitigt oder minimiert ist,</w:t>
      </w:r>
    </w:p>
    <w:p>
      <w:pPr>
        <w:ind w:left="420"/>
      </w:pPr>
      <w:r>
        <w:t xml:space="preserve">12. entgegen § 11 Satz 1 nicht dafür sorgt, dass eine Maßnahme durchführt wird,</w:t>
      </w:r>
    </w:p>
    <w:p>
      <w:pPr>
        <w:ind w:left="420"/>
      </w:pPr>
      <w:r>
        <w:t xml:space="preserve">13. entgegen § 12 Nummer 2 Buchstabe a, § 14 Nummer 1 oder § 17 Nummer 1 nicht dafür sorgt, dass eine Überschreitung beschränkt ist,</w:t>
      </w:r>
    </w:p>
    <w:p>
      <w:pPr>
        <w:ind w:left="420"/>
      </w:pPr>
      <w:r>
        <w:t xml:space="preserve">14. entgegen § 13 Nummer 1 nicht dafür sorgt, dass die Beschäftigten unterwiesen sind,</w:t>
      </w:r>
    </w:p>
    <w:p>
      <w:pPr>
        <w:ind w:left="420"/>
      </w:pPr>
      <w:r>
        <w:t xml:space="preserve">15. entgegen § 14 Nummer 3 oder § 17 Nummer 3 nicht dafür sorgt, dass eine Maßnahme ergriffen wird,</w:t>
      </w:r>
    </w:p>
    <w:p>
      <w:pPr>
        <w:ind w:left="420"/>
      </w:pPr>
      <w:r>
        <w:t xml:space="preserve">16. entgegen § 18 Nummer 5 nicht dafür sorgt, dass ein Nachweis enthalten ist, oder</w:t>
      </w:r>
    </w:p>
    <w:p>
      <w:pPr>
        <w:ind w:left="420"/>
      </w:pPr>
      <w:r>
        <w:t xml:space="preserve">17. entgegen § 19 Absatz 1 Satz 1 nicht sicherstellt, dass ein Beschäftigter eine Unterweisung erhält.</w:t>
      </w:r>
    </w:p>
    <w:p>
      <w:r>
        <w:t xml:space="preserve">(2) Wer durch eine in Absatz 1 bezeichnete vorsätzliche Handlung das Leben oder die Gesundheit von Beschäftigten gefährdet, ist nach § 26 Nummer 2 des Arbeitsschutzgesetzes strafbar.</w:t>
      </w:r>
    </w:p>
    <w:p>
      <w:r>
        <w:rPr>
          <w:color w:val="555555"/>
          <w:sz w:val="17"/>
        </w:rPr>
        <w:t xml:space="preserve">Zitiervorschlag: § 22 EMFV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https://recht.nulegal.eu/gesetze/EMFV/22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