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18 EMFV — Besondere Festlegungen für die Überschreitung von Expositionsgrenzwerten bei medizinischen Anwendungen von Magnetresonanzverfahren</w:t>
      </w:r>
    </w:p>
    <w:p>
      <w:r>
        <w:rPr>
          <w:color w:val="555555"/>
          <w:sz w:val="18"/>
        </w:rPr>
        <w:t xml:space="preserve">Arbeitsschutzverordnung zu elektromagnetischen Feldern</w:t>
      </w:r>
    </w:p>
    <w:p>
      <w:r>
        <w:rPr>
          <w:color w:val="555555"/>
          <w:sz w:val="18"/>
        </w:rPr>
        <w:t xml:space="preserve">Stand: 10.06.2019 (konsolidierte Textfassung, kein amtliches Inkrafttretensdatum)</w:t>
      </w:r>
    </w:p>
    <w:p>
      <w:r>
        <w:t xml:space="preserve">Abweichend von den §§ 7 bis 16 hat der Arbeitgeber bei einer Überschreitung der Expositionsgrenzwerte nach den Anhängen 2 und 3 bei der Aufstellung, Prüfung, Anwendung, Entwicklung oder Wartung von medizinischen Geräten für bildgebende Verfahren mittels Magnetresonanz am Patienten oder damit verknüpften Forschungsarbeiten</w:t>
      </w:r>
    </w:p>
    <w:p>
      <w:pPr>
        <w:ind w:left="420"/>
      </w:pPr>
      <w:r>
        <w:t xml:space="preserve">1. Art, Ausmaß, Häufigkeit und Dauer der Überschreitung von Expositionsgrenzwerten in Arbeitsbereichen, in denen Beschäftigte tätig werden müssen, im Rahmen der Gefährdungsbeurteilung nach § 3 nachzuweisen,</w:t>
      </w:r>
    </w:p>
    <w:p>
      <w:pPr>
        <w:ind w:left="420"/>
      </w:pPr>
      <w:r>
        <w:t xml:space="preserve">2. alle technischen und organisatorischen Maßnahmen nach dem Stand der Technik nach § 6 Absatz 1 zur Vermeidung oder Verringerung der Exposition der betroffenen Beschäftigten durchzuführen,</w:t>
      </w:r>
    </w:p>
    <w:p>
      <w:pPr>
        <w:ind w:left="420"/>
      </w:pPr>
      <w:r>
        <w:t xml:space="preserve">3. zu begründen, für welche medizinische Anwendungsfälle die Notwendigkeit zur Überschreitung der Expositionsgrenzwerte gegeben ist,</w:t>
      </w:r>
    </w:p>
    <w:p>
      <w:pPr>
        <w:ind w:left="420"/>
      </w:pPr>
      <w:r>
        <w:t xml:space="preserve">4. alle spezifischen Merkmale des Arbeitsplatzes, der Arbeitsmittel oder der Arbeitsmethoden bei der Durchführung der Gefährdungsbeurteilung sowie die Festlegung und die Durchführung von Maßnahmen für den sicheren Betrieb und zum Schutz der betroffenen Beschäftigten zu berücksichtigen,</w:t>
      </w:r>
    </w:p>
    <w:p>
      <w:pPr>
        <w:ind w:left="420"/>
      </w:pPr>
      <w:r>
        <w:t xml:space="preserve">5. dafür zu sorgen, dass in der Dokumentation der Gefährdungsbeurteilung nach § 6 Absatz 1 ein Nachweis enthalten ist, wie Beschäftigte vor Gefährdungen durch direkte und indirekte Wirkungen geschützt sind,</w:t>
      </w:r>
    </w:p>
    <w:p>
      <w:pPr>
        <w:ind w:left="420"/>
      </w:pPr>
      <w:r>
        <w:t xml:space="preserve">6. sicherzustellen, dass die vom Hersteller bereitgestellten Bedienungsanleitungen und Sicherheitshinweise eingehalten werden und</w:t>
      </w:r>
    </w:p>
    <w:p>
      <w:pPr>
        <w:ind w:left="420"/>
      </w:pPr>
      <w:r>
        <w:t xml:space="preserve">7. sicherzustellen, dass nur speziell unterwiesene Beschäftigte tätig werden.</w:t>
      </w:r>
    </w:p>
    <w:p>
      <w:r>
        <w:rPr>
          <w:color w:val="555555"/>
          <w:sz w:val="17"/>
        </w:rPr>
        <w:t xml:space="preserve">Zitiervorschlag: § 18 EMFV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https://recht.nulegal.eu/gesetze/EMFV/18</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