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EMFV — Besondere Festlegungen für die Überschreitung des Expositionsgrenzwertes der lokalen spezifischen Energieabsorption für sensorische Wirkungen von gepulsten elektromagnetischen Feldern im Frequenzbereich von 0,3 Gigahertz bis 6 Gigahertz (Mikrowellenhören)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des Expositionsgrenzwertes der lokalen spezifischen Energieabsorption SA für sensorische Wirkungen bei Exposition gegenüber gepulsten elektromagnetischen Feldern im Frequenzbereich von 0,3 Gigahertz bis 6 Gigahertz (Mikrowellenhören) nach Anhang 3 Tabelle A3.3 hat der Arbeitgeber, wenn keine geeigneten alternativen Arbeitsverfahren zur Verfügung stehen, dafür zu sorgen, dass nach Durchführung der festgelegten Maßnahmen entsprechend der Gefährdungsbeurteilung</w:t>
      </w:r>
    </w:p>
    <w:p>
      <w:pPr>
        <w:ind w:left="420"/>
      </w:pPr>
      <w:r>
        <w:t xml:space="preserve">1. die Überschreitung auf kurzzeitige Einzelereignisse unter definierten Betriebsbedingungen beschränkt ist,</w:t>
      </w:r>
    </w:p>
    <w:p>
      <w:pPr>
        <w:ind w:left="420"/>
      </w:pPr>
      <w:r>
        <w:t xml:space="preserve">2. die Expositionsgrenzwerte der spezifischen Absorptionsrate SAR für gesundheitliche Wirkungen bei Exposition gegenüber elektromagnetischen Feldern im Frequenzbereich von 100 Kilohertz bis 6 Gigahertz nach Anhang 3 Tabelle A3.1 und der Expositionsgrenzwert der Leistungsdichte S für gesundheitliche Wirkungen bei Exposition gegenüber elektromagnetischen Feldern im Frequenzbereich von 6 Gigahertz bis 300 Gigahertz nach Anhang 3 Tabelle A3.2 nicht überschritten werden und</w:t>
      </w:r>
    </w:p>
    <w:p>
      <w:pPr>
        <w:ind w:left="420"/>
      </w:pPr>
      <w:r>
        <w:t xml:space="preserve">3. unverzüglich weitere Maßnahmen nach § 6 Absatz 2 ergriffen werden, wenn vorübergehende Symptome nach § 6 Absatz 7 auftreten.</w:t>
      </w:r>
    </w:p>
    <w:p>
      <w:r>
        <w:rPr>
          <w:color w:val="555555"/>
          <w:sz w:val="17"/>
        </w:rPr>
        <w:t xml:space="preserve">Zitiervorschlag: § 17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