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EMFV — Besondere Festlegungen für die Überschreitung der Auslöseschwellen für stationäre Kontaktströme oder induzierte Ströme durch die Gliedmaßen im Frequenzbereich von 100 Kilohertz bis 110 Megahertz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der Auslöseschwellen für stationäre Kontaktströme IK oder induzierte Ströme durch die Gliedmaßen IG im Frequenzbereich von 100 Kilohertz bis 110 Megahertz nach Anhang 3 Tabelle A3.5 hat der Arbeitgeber dafür zu sorgen, dass</w:t>
      </w:r>
    </w:p>
    <w:p>
      <w:pPr>
        <w:ind w:left="420"/>
      </w:pPr>
      <w:r>
        <w:t xml:space="preserve">1. die Expositionsgrenzwerte der spezifischen Absorptionsrate SAR für gesundheitliche Wirkungen bei Exposition gegenüber elektromagnetischen Feldern nach Anhang 3 Tabelle A3.1 im Frequenzbereich von 100 Kilohertz bis 110 Megahertz eingehalten werden und</w:t>
      </w:r>
    </w:p>
    <w:p>
      <w:pPr>
        <w:ind w:left="420"/>
      </w:pPr>
      <w:r>
        <w:t xml:space="preserve">2. nach Durchführung der festgelegten Maßnahmen entsprechend der Gefährdungsbeurteilung Gefährdungen der Beschäftigten durch direkte und indirekte Wirkungen ausgeschlossen sind und damit ein sicheres Arbeiten gewährleistet ist.</w:t>
      </w:r>
    </w:p>
    <w:p>
      <w:r>
        <w:rPr>
          <w:color w:val="555555"/>
          <w:sz w:val="17"/>
        </w:rPr>
        <w:t xml:space="preserve">Zitiervorschlag: § 16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