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EMFV — Besondere Festlegungen für die Überschreitung der Auslöseschwellen für elektromagnetische Felder im Frequenzbereich von 100 Kilohertz bis 300 Gigahertz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Überschreitung der Auslöseschwellen für die Exposition gegenüber elektromagnetischen Feldern im Frequenzbereich von 100 Kilohertz bis 300 Gigahertz nach Anhang 3 Tabelle A3.4 hat der Arbeitgeber dafür zu sorgen, dass</w:t>
      </w:r>
    </w:p>
    <w:p>
      <w:pPr>
        <w:ind w:left="420"/>
      </w:pPr>
      <w:r>
        <w:t xml:space="preserve">1. die Expositionsgrenzwerte der spezifischen Absorptionsrate SAR für gesundheitliche Wirkungen bei Exposition gegenüber elektromagnetischen Feldern im Frequenzbereich von 100 Kilohertz bis 6 Gigahertz nach Anhang 3 Tabelle A3.1 und der Expositionsgrenzwert der Leistungsdichte S für gesundheitliche Wirkungen bei Exposition gegenüber elektromagnetischen Feldern im Frequenzbereich von 6 Gigahertz bis 300 Gigahertz nach Anhang 3 Tabelle A3.2 eingehalten werden und</w:t>
      </w:r>
    </w:p>
    <w:p>
      <w:pPr>
        <w:ind w:left="420"/>
      </w:pPr>
      <w:r>
        <w:t xml:space="preserve">2. nach Durchführung der festgelegten Maßnahmen entsprechend der Gefährdungsbeurteilung Gefährdungen der Beschäftigten durch direkte und indirekte Wirkungen ausgeschlossen sind und damit ein sicheres Arbeiten gewährleistet ist.</w:t>
      </w:r>
    </w:p>
    <w:p>
      <w:r>
        <w:t xml:space="preserve">(2) Die besonderen Festlegungen für die Überschreitung der Expositionsgrenzwerte der lokalen spezifischen Energieabsorption SA für sensorische Wirkungen bei Exposition gegenüber gepulsten elektromagnetischen Feldern im Frequenzbereich von 0,3 Gigahertz bis 6 Gigahertz (Mikrowellenhören) nach § 17 gelten unabhängig von Absatz 1. Sie sind daher gesondert zu betrachten.</w:t>
      </w:r>
    </w:p>
    <w:p>
      <w:r>
        <w:rPr>
          <w:color w:val="555555"/>
          <w:sz w:val="17"/>
        </w:rPr>
        <w:t xml:space="preserve">Zitiervorschlag: § 15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