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EMFV — Besondere Festlegungen für die Überschreitung der Expositionsgrenzwerte für sensorische Wirkungen im Frequenzbereich bis 400 Hertz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Überschreitung der Expositionsgrenzwerte für sensorische Wirkungen für im Frequenzbereich bis 400 Hertz nach Anhang 2 Tabelle A2.4 hat der Arbeitgeber, wenn keine geeigneten alternativen Arbeitsverfahren zur Verfügung stehen, dafür zu sorgen, dass nach Durchführung der festgelegten Maßnahmen entsprechend der Gefährdungsbeurteilung</w:t>
      </w:r>
    </w:p>
    <w:p>
      <w:pPr>
        <w:ind w:left="420"/>
      </w:pPr>
      <w:r>
        <w:t xml:space="preserve">1. die Überschreitung auf kurzzeitige Einzelereignisse unter definierten Betriebsbedingungen beschränkt ist,</w:t>
      </w:r>
    </w:p>
    <w:p>
      <w:pPr>
        <w:ind w:left="420"/>
      </w:pPr>
      <w:r>
        <w:t xml:space="preserve">2. die Expositionsgrenzwerte der internen elektrischen Feldstärke Ei für gesundheitliche Wirkungen im Frequenzbereich bis 400 Hertz nach Anhang 2 Tabelle A2.3 nicht überschritten werden und</w:t>
      </w:r>
    </w:p>
    <w:p>
      <w:pPr>
        <w:ind w:left="420"/>
      </w:pPr>
      <w:r>
        <w:t xml:space="preserve">3. unverzüglich weitere Maßnahmen nach § 6 Absatz 2 ergriffen werden, wenn vorübergehende Symptome nach § 6 Absatz 7 auftreten.</w:t>
      </w:r>
    </w:p>
    <w:p>
      <w:r>
        <w:rPr>
          <w:color w:val="555555"/>
          <w:sz w:val="17"/>
        </w:rPr>
        <w:t xml:space="preserve">Zitiervorschlag: § 14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