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EMFV — Besondere Festlegungen für die Überschreitung der Auslöseschwellen für Kontaktströme bei berührendem Kontakt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der Auslöseschwellen für Kontaktströme IK bei berührendem Kontakt nach Anhang 2 Tabelle A2.9 hat der Arbeitgeber, wenn keine geeigneten alternativen Arbeitsverfahren oder Arbeitsmittel zur Verfügung stehen, dafür zu sorgen, dass</w:t>
      </w:r>
    </w:p>
    <w:p>
      <w:pPr>
        <w:ind w:left="420"/>
      </w:pPr>
      <w:r>
        <w:t xml:space="preserve">1. die Beschäftigten so unterwiesen sind, dass sie immer einen greifenden Kontakt herstellen,</w:t>
      </w:r>
    </w:p>
    <w:p>
      <w:pPr>
        <w:ind w:left="420"/>
      </w:pPr>
      <w:r>
        <w:t xml:space="preserve">2. die Expositionsgrenzwerte für kontinuierliche Kontaktströme IK bei greifendem Kontakt nach Anhang 2 Tabelle A2.5 und für den Entladungspuls eines Kontaktstroms nach Anhang 2 Tabelle A2.6 eingehalten werden und</w:t>
      </w:r>
    </w:p>
    <w:p>
      <w:pPr>
        <w:ind w:left="420"/>
      </w:pPr>
      <w:r>
        <w:t xml:space="preserve">3. die Gefährdungen durch direkte und indirekte Wirkungen ausgeschlossen sind und damit ein sicheres Arbeiten gewährleistet ist.</w:t>
      </w:r>
    </w:p>
    <w:p>
      <w:r>
        <w:rPr>
          <w:color w:val="555555"/>
          <w:sz w:val="17"/>
        </w:rPr>
        <w:t xml:space="preserve">Zitiervorschlag: § 13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