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EMFV — Besondere Festlegungen für die Überschreitung der oberen Auslöseschwellen für externe elektrische Felder im Frequenzbereich von 0 Hertz bis 10 Megahertz</w:t>
      </w:r>
    </w:p>
    <w:p>
      <w:r>
        <w:rPr>
          <w:color w:val="555555"/>
          <w:sz w:val="18"/>
        </w:rPr>
        <w:t xml:space="preserve">Arbeitsschutzverordnung zu elektromagnetischen Feldern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Überschreitung der oberen Auslöseschwellen für die Exposition gegenüber externen elektrischen Feldern im Frequenzbereich von 0 Hertz bis 10 Megahertz nach Anhang 2 Tabelle A2.7 hat der Arbeitgeber, wenn keine geeigneten alternativen Arbeitsverfahren zur Verfügung stehen, dafür zu sorgen, dass über die in § 10 Nummer 2 genannten Maßnahmen hinaus weitere Maßnahmen nach § 6 Absatz 2 durchgeführt werden, damit Gefährdungen durch direkte und indirekte Wirkungen ausgeschlossen sind. Zu den Maßnahmen zählen insbesondere spezielle Unterweisungen.</w:t>
      </w:r>
    </w:p>
    <w:p>
      <w:r>
        <w:rPr>
          <w:color w:val="555555"/>
          <w:sz w:val="17"/>
        </w:rPr>
        <w:t xml:space="preserve">Zitiervorschlag: § 11 EMFV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https://recht.nulegal.eu/gesetze/EMFV/11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