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EMASPrivilegV — Unterrichtung der Öffentlichkeit</w:t>
      </w:r>
    </w:p>
    <w:p>
      <w:r>
        <w:rPr>
          <w:color w:val="555555"/>
          <w:sz w:val="18"/>
        </w:rPr>
        <w:t xml:space="preserve">EMAS-Privilegierungs-Verordnung</w:t>
      </w:r>
    </w:p>
    <w:p>
      <w:r>
        <w:rPr>
          <w:color w:val="555555"/>
          <w:sz w:val="18"/>
        </w:rPr>
        <w:t xml:space="preserve">Stand: 10.06.2019 (konsolidierte Textfassung, kein amtliches Inkrafttretensdatum)</w:t>
      </w:r>
    </w:p>
    <w:p>
      <w:r>
        <w:t xml:space="preserve">Der Verpflichtete nach § 18 der Verordnung über Verbrennungsanlagen für Abfälle und ähnliche brennbare Stoffe in der jeweils geltenden Fassung kann nach Anzeige gegenüber der zuständigen Behörde die jährliche Unterrichtung der Öffentlichkeit mittels der jeweils aktualisierten Umwelterklärung vornehmen, sofern diese die erforderlichen Angaben enthält.</w:t>
      </w:r>
    </w:p>
    <w:p>
      <w:r>
        <w:rPr>
          <w:color w:val="555555"/>
          <w:sz w:val="17"/>
        </w:rPr>
        <w:t xml:space="preserve">Zitiervorschlag: § 9 EMASPrivilegV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https://recht.nulegal.eu/gesetze/EMASPrivilegV/9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