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EMASPrivilegV — Verlängerung von Messintervallen</w:t>
      </w:r>
    </w:p>
    <w:p>
      <w:r>
        <w:rPr>
          <w:color w:val="555555"/>
          <w:sz w:val="18"/>
        </w:rPr>
        <w:t xml:space="preserve">EMAS-Privilegierungs-Verordnung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soll die Messintervalle von Messungen an EMAS-Anlagen nach § 12 Abs. 3 der Verordnung zur Emissionsbegrenzung von leichtflüchtigen halogenierten organischen Verbindungen in der jeweils geltenden Fassung um jeweils ein Jahr verlängern.</w:t>
      </w:r>
    </w:p>
    <w:p>
      <w:r>
        <w:rPr>
          <w:color w:val="555555"/>
          <w:sz w:val="17"/>
        </w:rPr>
        <w:t xml:space="preserve">Zitiervorschlag: § 8 EMASPrivilegV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https://recht.nulegal.eu/gesetze/EMASPrivilegV/8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