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EMASPrivilegV — Berichte</w:t>
      </w:r>
    </w:p>
    <w:p>
      <w:r>
        <w:rPr>
          <w:color w:val="555555"/>
          <w:sz w:val="18"/>
        </w:rPr>
        <w:t xml:space="preserve">EMAS-Privilegierungs-Verordnung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Betreiber von EMAS-Anlagen können der zuständigen Behörde anstelle einer Emissionserklärung gemäß der Verordnung über Emissionserklärungen eine vom Umweltgutachter validierte Umwelterklärung vorlegen, die den Anforderungen des § 27 Abs. 1 des Bundes-Immissionsschutzgesetzes sowie der Verordnung über Emissionserklärungen genügt. In der Umwelterklärung ist zu erklären, dass die Voraussetzungen nach Satz 1 eingehalten sind.</w:t>
      </w:r>
    </w:p>
    <w:p>
      <w:r>
        <w:t xml:space="preserve">(2) Der Betreiber einer EMAS-Anlage hat</w:t>
      </w:r>
    </w:p>
    <w:p>
      <w:pPr>
        <w:ind w:left="420"/>
      </w:pPr>
      <w:r>
        <w:t xml:space="preserve">1. eine Durchschrift des Berichts nach § 12 Abs. 6 der Verordnung zur Emissionsbegrenzung von leichtflüchtigen halogenierten organischen Verbindungen in der jeweils geltenden Fassung,</w:t>
      </w:r>
    </w:p>
    <w:p>
      <w:pPr>
        <w:ind w:left="420"/>
      </w:pPr>
      <w:r>
        <w:t xml:space="preserve">2. eine Durchschrift des Berichts nach § 8 Abs. 5 Satz 3 der Verordnung zur Begrenzung der Emissionen flüchtiger organischer Verbindungen beim Umfüllen oder Lagern von Ottokraftstoffen, Kraftstoffgemischen oder Rohbenzin in der jeweils geltenden Fassung,</w:t>
      </w:r>
    </w:p>
    <w:p>
      <w:pPr>
        <w:ind w:left="420"/>
      </w:pPr>
      <w:r>
        <w:t xml:space="preserve">3. eine Durchschrift des Berichts nach § 5 Absatz 5 Satz 3 der Verordnung zur Begrenzung der Kohlenwasserstoffemissionen bei der Betankung von Kraftfahrzeugen vom 7. Oktober 1992 (BGBl. I S. 1730) in der jeweils geltenden Fassung,</w:t>
      </w:r>
    </w:p>
    <w:p>
      <w:pPr>
        <w:ind w:left="420"/>
      </w:pPr>
      <w:r>
        <w:t xml:space="preserve">4. die Bescheinigung und die Berichte nach § 7 Abs. 3 Satz 3, § 8 Abs. 2, § 10 Abs. 1 der Verordnung über Anlagen zur Feuerbestattung in der jeweils geltenden Fassung</w:t>
      </w:r>
    </w:p>
    <w:p>
      <w:r>
        <w:t xml:space="preserve">der zuständigen Behörde nur auf deren Verlangen vorzulegen; sind nach den Berichten die zu erfüllenden Anforderungen nicht eingehalten, so sind die Berichte unaufgefordert der zuständigen Behörde vorzulegen. Satz 1 gilt nicht für Anlagen, die dem Anwendungsbereich der Verordnung zur Emissionsbegrenzung von leichtflüchtigen halogenierten organischen Verbindungen unterliegen und der Genehmigung in einem Verfahren nach § 4 Abs. 1 des Bundes-Immissionsschutzgesetzes unter Einbeziehung der Öffentlichkeit bedürfen.</w:t>
      </w:r>
    </w:p>
    <w:p>
      <w:r>
        <w:rPr>
          <w:color w:val="555555"/>
          <w:sz w:val="17"/>
        </w:rPr>
        <w:t xml:space="preserve">Zitiervorschlag: § 7 EMASPrivilegV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https://recht.nulegal.eu/gesetze/EMASPrivilegV/7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