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EMASPrivilegV — Wiederkehrende Messungen, Funktionsprüfungen</w:t>
      </w:r>
    </w:p>
    <w:p>
      <w:r>
        <w:rPr>
          <w:color w:val="555555"/>
          <w:sz w:val="18"/>
        </w:rPr>
        <w:t xml:space="preserve">EMAS-Privilegierungs-Verordnung</w:t>
      </w:r>
    </w:p>
    <w:p>
      <w:r>
        <w:rPr>
          <w:color w:val="555555"/>
          <w:sz w:val="18"/>
        </w:rPr>
        <w:t xml:space="preserve">Stand: 23.09.2021 (konsolidierte Textfassung, kein amtliches Inkrafttretensdatum)</w:t>
      </w:r>
    </w:p>
    <w:p>
      <w:r>
        <w:t xml:space="preserve">(1) Die zuständige Behörde soll dem Betreiber einer EMAS-Anlage auf Antrag gestatten, für diese Anlage wiederkehrende</w:t>
      </w:r>
    </w:p>
    <w:p>
      <w:pPr>
        <w:ind w:left="420"/>
      </w:pPr>
      <w:r>
        <w:t xml:space="preserve">1. Messungen nach § 12 Absatz 3 der Verordnung zur Emissionsbegrenzung von leichtflüchtigen halogenierten organischen Verbindungen vom 10. Dezember 1990 (BGBl. I S. 2694), die zuletzt durch Artikel 1 der Verordnung vom 2. Mai 2013 (BGBl. I S. 1021) geändert worden ist, in der jeweils geltenden Fassung,</w:t>
      </w:r>
    </w:p>
    <w:p>
      <w:pPr>
        <w:ind w:left="420"/>
      </w:pPr>
      <w:r>
        <w:t xml:space="preserve">2. Wiederholungsmessungen nach § 20 Absatz 2 der Verordnung über Großfeuerungs-, Gasturbinen- und Verbrennungsmotoranlagen,</w:t>
      </w:r>
    </w:p>
    <w:p>
      <w:pPr>
        <w:ind w:left="420"/>
      </w:pPr>
      <w:r>
        <w:t xml:space="preserve">3. Wiederholungsmessungen nach § 18 Absatz 3 der Verordnung über die Verbrennung und die Mitverbrennung von Abfällen,</w:t>
      </w:r>
    </w:p>
    <w:p>
      <w:pPr>
        <w:ind w:left="420"/>
      </w:pPr>
      <w:r>
        <w:t xml:space="preserve">4. Messungen nach § 8 Absatz 3 der Verordnung zur Begrenzung der Emissionen flüchtiger organischer Verbindungen beim Umfüllen oder Lagern von Ottokraftstoffen, Kraftstoffgemischen oder Rohbenzin vom 27. Mai 1998 (BGBl. I S. 1174), die zuletzt durch Artikel 7 der Verordnung vom 2. Mai 2013 (BGBl. I S. 1021) geändert worden ist, in der jeweils geltenden Fassung</w:t>
      </w:r>
    </w:p>
    <w:p>
      <w:r>
        <w:t xml:space="preserve">mit eigenem Personal durchzuführen, wenn der Betreiber, Immissionsschutzbeauftragte oder ein sonstiger geeigneter Betriebsangehöriger die hierfür erforderliche Fachkunde und Zuverlässigkeit besitzt und sichergestellt ist, dass geeignete Geräte und Einrichtungen eingesetzt werden.</w:t>
      </w:r>
    </w:p>
    <w:p>
      <w:r>
        <w:t xml:space="preserve">(2) Unter den gleichen Voraussetzungen soll die zuständige Behörde dem Betreiber einer EMAS-Anlage auf Antrag gestatten, für diese Anlage Funktionsprüfungen nach</w:t>
      </w:r>
    </w:p>
    <w:p>
      <w:pPr>
        <w:ind w:left="420"/>
      </w:pPr>
      <w:r>
        <w:t xml:space="preserve">1. § 12 Absatz 7 Satz 2 der Verordnung zur Emissionsbegrenzung von leichtflüchtigen halogenierten organischen Verbindungen,</w:t>
      </w:r>
    </w:p>
    <w:p>
      <w:pPr>
        <w:ind w:left="420"/>
      </w:pPr>
      <w:r>
        <w:t xml:space="preserve">2. § 16 Absatz 4 Nummer 2 der Verordnung über Großfeuerungs-, Gasturbinen- und Verbrennungsmotoranlagen,</w:t>
      </w:r>
    </w:p>
    <w:p>
      <w:pPr>
        <w:ind w:left="420"/>
      </w:pPr>
      <w:r>
        <w:t xml:space="preserve">3. § 15 Absatz 4 Nummer 2 der Verordnung über Verbrennung und die Mitverbrennung von Abfällen,</w:t>
      </w:r>
    </w:p>
    <w:p>
      <w:pPr>
        <w:ind w:left="420"/>
      </w:pPr>
      <w:r>
        <w:t xml:space="preserve">4. § 7 Absatz 3 der Verordnung über Anlagen zur Feuerbestattung vom 19. März 1997 (BGBl. I S. 545), die durch Artikel 11 des Gesetzes vom 3. Mai 2000 (BGBl. I S. 632) geändert worden ist, in der jeweils geltenden Fassung</w:t>
      </w:r>
    </w:p>
    <w:p>
      <w:r>
        <w:t xml:space="preserve">mit eigenem Personal durchzuführen. Satz 1 gilt nicht für die erstmalige Funktionsprüfung.</w:t>
      </w:r>
    </w:p>
    <w:p>
      <w:r>
        <w:rPr>
          <w:color w:val="555555"/>
          <w:sz w:val="17"/>
        </w:rPr>
        <w:t xml:space="preserve">Zitiervorschlag: § 5 EMASPrivilegV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https://recht.nulegal.eu/gesetze/EMASPrivilegV/5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