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EMASPrivilegV — Ermittlungen von Emissionen</w:t>
      </w:r>
    </w:p>
    <w:p>
      <w:r>
        <w:rPr>
          <w:color w:val="555555"/>
          <w:sz w:val="18"/>
        </w:rPr>
        <w:t xml:space="preserve">EMAS-Privilegierungs-Verordnung</w:t>
      </w:r>
    </w:p>
    <w:p>
      <w:r>
        <w:rPr>
          <w:color w:val="555555"/>
          <w:sz w:val="18"/>
        </w:rPr>
        <w:t xml:space="preserve">Stand: 10.06.2019 (konsolidierte Textfassung, kein amtliches Inkrafttretensdatum)</w:t>
      </w:r>
    </w:p>
    <w:p>
      <w:r>
        <w:t xml:space="preserve">Die zuständige Behörde soll bei EMAS-Anlagen Messungen nach § 28 Satz 1 Nr. 2 des Bundes-Immissionsschutzgesetzes erst nach Ablauf eines längeren Zeitraums als drei Jahren anordnen. Darüber hinaus soll die zuständige Behörde dem Betreiber einer EMAS-Anlage gestatten, Messungen nach § 28 Satz 1 Nr. 2 des Bundes-Immissionsschutzgesetzes mit eigenem Personal durchzuführen, wenn der Betreiber, Immissionsschutzbeauftragte oder ein sonstiger geeigneter Betriebsangehöriger die hierfür erforderliche Fachkunde und Zuverlässigkeit besitzt und sichergestellt ist, dass geeignete Geräte und Einrichtungen eingesetzt werden.</w:t>
      </w:r>
    </w:p>
    <w:p>
      <w:r>
        <w:rPr>
          <w:color w:val="555555"/>
          <w:sz w:val="17"/>
        </w:rPr>
        <w:t xml:space="preserve">Zitiervorschlag: § 4 EMASPrivilegV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https://recht.nulegal.eu/gesetze/EMASPrivilegV/4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