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EMASPrivilegV — Widerruf</w:t>
      </w:r>
    </w:p>
    <w:p>
      <w:r>
        <w:rPr>
          <w:color w:val="555555"/>
          <w:sz w:val="18"/>
        </w:rPr>
        <w:t xml:space="preserve">EMAS-Privilegierungs-Verordnung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die nach dieser Verordnung von ihr gestatteten Überwachungserleichterungen auch dann ganz oder teilweise widerrufen, wenn</w:t>
      </w:r>
    </w:p>
    <w:p>
      <w:pPr>
        <w:ind w:left="420"/>
      </w:pPr>
      <w:r>
        <w:t xml:space="preserve">1. der Betreiber Rechts- oder Strafvorschriften zum Schutz der Umwelt, einer genehmigungsrechtlichen Auflage oder einer nachträglichen Anordnung zuwiderhandelt oder</w:t>
      </w:r>
    </w:p>
    <w:p>
      <w:pPr>
        <w:ind w:left="420"/>
      </w:pPr>
      <w:r>
        <w:t xml:space="preserve">2. nachträglich Tatsachen bekannt werden, die geeignet sind, die Eintragung einer Organisation in das EMAS-Register zu verweigern, zu streichen oder auszusetzen.</w:t>
      </w:r>
    </w:p>
    <w:p>
      <w:r>
        <w:t xml:space="preserve">(2) Soweit die zuständige Behörde von der Möglichkeit des Widerrufs gemäß Absatz 1 Gebrauch macht, hat sie die zuständige Register führende Stelle gemäß § 34 des Umweltauditgesetzes darüber zu unterrichten.</w:t>
      </w:r>
    </w:p>
    <w:p>
      <w:r>
        <w:rPr>
          <w:color w:val="555555"/>
          <w:sz w:val="17"/>
        </w:rPr>
        <w:t xml:space="preserve">Zitiervorschlag: § 10 EMASPrivilegV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https://recht.nulegal.eu/gesetze/EMASPrivilegV/10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