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EMASPrivilegV — Begriffsbestimmung</w:t>
      </w:r>
    </w:p>
    <w:p>
      <w:r>
        <w:rPr>
          <w:color w:val="555555"/>
          <w:sz w:val="18"/>
        </w:rPr>
        <w:t xml:space="preserve">EMAS-Privilegierungs-Verordnung</w:t>
      </w:r>
    </w:p>
    <w:p>
      <w:r>
        <w:rPr>
          <w:color w:val="555555"/>
          <w:sz w:val="18"/>
        </w:rPr>
        <w:t xml:space="preserve">Stand: 10.06.2019 (konsolidierte Textfassung, kein amtliches Inkrafttretensdatum)</w:t>
      </w:r>
    </w:p>
    <w:p>
      <w:r>
        <w:t xml:space="preserve">Im Sinne dieser Verordnung ist eine EMAS-Anlage eine Anlage, die Bestandteil einer Organisation oder eines Standorts ist, die oder der nach den Artikeln 13 bis 15 in Verbindung mit Artikel 2 Nummer 22 der Verordnung (EG) Nr. 1221/2009 des Europäischen Parlaments und des Rates vom 25. November 2009 über die freiwillige Teilnahme von Organisationen an einem Gemeinschaftssystem für Umweltmanagement und Umweltbetriebsprüfung und zur Aufhebung der Verordnung (EG) Nr. 761/2001, sowie der Beschlüsse der Kommission 2001/681/EG und 2006/193/EG (ABl. L 342 vom 22.12.2009, S. 1) registriert ist.</w:t>
      </w:r>
    </w:p>
    <w:p>
      <w:r>
        <w:rPr>
          <w:color w:val="555555"/>
          <w:sz w:val="17"/>
        </w:rPr>
        <w:t xml:space="preserve">Zitiervorschlag: § 1 EMASPrivilegV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https://recht.nulegal.eu/gesetze/EMASPrivilegV/1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