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ELV — (zu § 4 Absatz 1) Reinheitskriterien für Extraktionslösungsmittel</w:t>
      </w:r>
    </w:p>
    <w:p>
      <w:r>
        <w:rPr>
          <w:color w:val="555555"/>
          <w:sz w:val="18"/>
        </w:rPr>
        <w:t xml:space="preserve">Extraktionslösungsmittelverordnung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(Fundstelle: BGBl. I 2018, 372 bzgl. der einzelnen Änderungen vgl. Fußnote)</w:t>
      </w:r>
    </w:p>
    <w:p>
      <w:r>
        <w:rPr>
          <w:rFonts w:ascii="Courier New" w:hAnsi="Courier New"/>
          <w:sz w:val="17"/>
        </w:rPr>
        <w:t xml:space="preserve">Stoff    höchstzulässiger Gehalt im Extraktionslösungsmittel</w:t>
      </w:r>
    </w:p>
    <w:p>
      <w:r>
        <w:rPr>
          <w:rFonts w:ascii="Courier New" w:hAnsi="Courier New"/>
          <w:sz w:val="17"/>
        </w:rPr>
        <w:t xml:space="preserve">Arsen Blei    1 mg/kg 1 mg/kg</w:t>
      </w:r>
    </w:p>
    <w:p>
      <w:r>
        <w:t xml:space="preserve">Extraktionslösungsmittel dürfen auch keine toxikologisch bedenklichen Mengen anderer Stoffe enthalten. In einem Kilogramm Ethylmethylketon darf der Gehalt an n-Hexan nicht mehr als 50 Milligramm betragen.</w:t>
      </w:r>
    </w:p>
    <w:p>
      <w:r>
        <w:rPr>
          <w:color w:val="555555"/>
          <w:sz w:val="17"/>
        </w:rPr>
        <w:t xml:space="preserve">Zitiervorschlag: Anlage 4 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ELV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