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ELV — Reinheitsanforderungen</w:t>
      </w:r>
    </w:p>
    <w:p>
      <w:r>
        <w:rPr>
          <w:color w:val="555555"/>
          <w:sz w:val="18"/>
        </w:rPr>
        <w:t xml:space="preserve">Extraktionslösungsmittelverordnung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in den Anlagen 1 bis 3 aufgeführten Stoffe dürfen als Extraktionslösungsmittel bei dem Herstellen von Lebensmitteln, die dazu bestimmt sind, in den Verkehr gebracht zu werden, nur verwendet werden, wenn sie den Reinheitsanforderungen gemäß Anlage 4 entsprechen. Das Gleiche gilt für Ethanol.</w:t>
      </w:r>
    </w:p>
    <w:p>
      <w:r>
        <w:t xml:space="preserve">(2) Die in Anlage 2 bis 3 aufgeführten Extraktionslösungsmittel müssen den spezifischen Reinheitskriterien gemäß Anlage 5 entsprechen.</w:t>
      </w:r>
    </w:p>
    <w:p>
      <w:r>
        <w:rPr>
          <w:color w:val="555555"/>
          <w:sz w:val="17"/>
        </w:rPr>
        <w:t xml:space="preserve">Zitiervorschlag: § 4 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