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ELV — Höchstmengen</w:t>
      </w:r>
    </w:p>
    <w:p>
      <w:r>
        <w:rPr>
          <w:color w:val="555555"/>
          <w:sz w:val="18"/>
        </w:rPr>
        <w:t xml:space="preserve">Extraktionslösungsmittelverordnung</w:t>
      </w:r>
    </w:p>
    <w:p>
      <w:r>
        <w:rPr>
          <w:color w:val="555555"/>
          <w:sz w:val="18"/>
        </w:rPr>
        <w:t xml:space="preserve">Stand: 01.01.2025 (konsolidierte Textfassung, kein amtliches Inkrafttretensdatum)</w:t>
      </w:r>
    </w:p>
    <w:p>
      <w:r>
        <w:t xml:space="preserve">Die in den Anlagen 2 und 3 aufgeführten Stoffe dürfen als Extraktionslösungsmittel bei dem Herstellen von Lebensmitteln, die dazu bestimmt sind, in den Verkehr gebracht zu werden, nur so verwendet werden, dass ihre Restgehalte in den Lebensmitteln die dort festgesetzten Höchstmengen nicht überschreiten.</w:t>
      </w:r>
    </w:p>
    <w:p>
      <w:r>
        <w:rPr>
          <w:color w:val="555555"/>
          <w:sz w:val="17"/>
        </w:rPr>
        <w:t xml:space="preserve">Zitiervorschlag: § 3 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