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ELV — Zugelassene Stoffe</w:t>
      </w:r>
    </w:p>
    <w:p>
      <w:r>
        <w:rPr>
          <w:color w:val="555555"/>
          <w:sz w:val="18"/>
        </w:rPr>
        <w:t xml:space="preserve">Extraktionslösungsmittelverordnung</w:t>
      </w:r>
    </w:p>
    <w:p>
      <w:r>
        <w:rPr>
          <w:color w:val="555555"/>
          <w:sz w:val="18"/>
        </w:rPr>
        <w:t xml:space="preserve">Stand: 10.06.2019 (konsolidierte Textfassung, kein amtliches Inkrafttretensdatum)</w:t>
      </w:r>
    </w:p>
    <w:p>
      <w:r>
        <w:t xml:space="preserve">(1) Stoffe im Sinne des Artikels 3 Absatz 2 Buchstabe b der Verordnung (EG) Nr. 1333/2008 des Europäischen Parlaments und des Rates vom 16. Dezember 2008 über Lebensmittelzusatzstoffe (ABl. L 354 vom 31.12.2008, S. 16) in der jeweils geltenden Fassung, die als Extraktionslösungsmittel verwendet werden, werden den Lebensmittelzusatzstoffen gleichgestellt.</w:t>
      </w:r>
    </w:p>
    <w:p>
      <w:r>
        <w:t xml:space="preserve">(2) Als Extraktionslösungsmittel werden zugelassen:</w:t>
      </w:r>
    </w:p>
    <w:p>
      <w:pPr>
        <w:ind w:left="780"/>
      </w:pPr>
      <w:r>
        <w:t xml:space="preserve">a) destilliertes und demineralisiertes Wasser,</w:t>
      </w:r>
    </w:p>
    <w:p>
      <w:pPr>
        <w:ind w:left="780"/>
      </w:pPr>
      <w:r>
        <w:t xml:space="preserve">b) Wasser, dem Lebensmittelzusatzstoffe zur Regulierung der Azidität oder Alkalität zugesetzt wurden,</w:t>
      </w:r>
    </w:p>
    <w:p>
      <w:pPr>
        <w:ind w:left="780"/>
      </w:pPr>
      <w:r>
        <w:t xml:space="preserve">c) die in Anlage 1 aufgeführten Stoffe</w:t>
      </w:r>
    </w:p>
    <w:p>
      <w:pPr>
        <w:ind w:left="420"/>
      </w:pPr>
      <w:r>
        <w:t xml:space="preserve">zur allgemeinen Verwendung unter Einhaltung der nach redlichem Herstellerbrauch üblichen Verfahren; diese gelten als eingehalten, wenn die Stoffe aus dem Lebensmittel vollständig oder soweit entfernt werden, dass Rückstände oder Umwandlungsprodukte nur in technisch unvermeidbaren Resten vorhanden sind, die keine Gefahr für die menschliche Gesundheit darstellen,</w:t>
      </w:r>
    </w:p>
    <w:p>
      <w:pPr>
        <w:ind w:left="420"/>
      </w:pPr>
      <w:r>
        <w:t xml:space="preserve">2. die in Anlage 2 aufgeführten Stoffe für die dort genannten Verwendungszwecke,</w:t>
      </w:r>
    </w:p>
    <w:p>
      <w:pPr>
        <w:ind w:left="420"/>
      </w:pPr>
      <w:r>
        <w:t xml:space="preserve">3. die in Anlage 3 aufgeführten Stoffe für die Herstellung von Aromen aus natürlichen Aromaträgern.</w:t>
      </w:r>
    </w:p>
    <w:p>
      <w:r>
        <w:t xml:space="preserve">(3) Ferner dürfen Wasser, Ethanol und andere Lebensmittel, die Lösungsmitteleigenschaften haben, als Extraktionslösungsmittel verwendet werden.</w:t>
      </w:r>
    </w:p>
    <w:p>
      <w:r>
        <w:rPr>
          <w:color w:val="555555"/>
          <w:sz w:val="17"/>
        </w:rPr>
        <w:t xml:space="preserve">Zitiervorschlag: § 2 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