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ELV 2004</w:t>
      </w:r>
    </w:p>
    <w:p>
      <w:r>
        <w:rPr>
          <w:color w:val="555555"/>
          <w:sz w:val="18"/>
        </w:rPr>
        <w:t xml:space="preserve">Eisenbahn-Laufbahnverordnung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 Abs. 4 Nr. 1 und Abs. 5 des Bundeseisenbahnneugliederungsgesetzes vom 27. Dezember 1993 (BGBl. I S. 2378, 1994 I S. 2439), von denen Absatz 4 Nr. 1 durch Artikel 19 Abs. 2 Nr. 1 des Gesetzes vom 29. Juni 1998 (BGBl. I S. 1666) und Absatz 5 durch Artikel 263 Nr. 2 der Verordnung vom 29. Oktober 2001 (BGBl. I S. 2785) geändert worden sind, verordnet das Bundesministerium für Verkehr, Bau- und Wohnungswesen im Einvernehmen mit dem Bundesministerium des Innern und dem Bundesministerium der Finanzen:</w:t>
      </w:r>
    </w:p>
    <w:p>
      <w:r>
        <w:rPr>
          <w:color w:val="555555"/>
          <w:sz w:val="17"/>
        </w:rPr>
        <w:t xml:space="preserve">Zitiervorschlag: Eingangsformel ELV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https://recht.nulegal.eu/gesetze/ELV%202004/eingangsformel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