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ELV 2004 — Laufbahn der Bundesbahnsekretärinnen und Bundesbahnsekretäre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mittleren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6)    Bundesbahnsekretärin/Bundesbahnsekretär,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7    Bundesbahnobersekretärin/Bundesbahnobersekretär,</w:t>
      </w:r>
    </w:p>
    <w:p>
      <w:r>
        <w:rPr>
          <w:rFonts w:ascii="Courier New" w:hAnsi="Courier New"/>
          <w:sz w:val="17"/>
        </w:rPr>
        <w:t xml:space="preserve">b)    Besoldungsgruppe A 8    Bundesbahnhauptsekretärin/Bundesbahnhauptsekretär,</w:t>
      </w:r>
    </w:p>
    <w:p>
      <w:r>
        <w:rPr>
          <w:rFonts w:ascii="Courier New" w:hAnsi="Courier New"/>
          <w:sz w:val="17"/>
        </w:rPr>
        <w:t xml:space="preserve">c)    Besoldungsgruppe A 9    Bundesbahnbetriebsinspektorin/Bundesbahnbetriebsinspektor.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Aufsicht in Bahnhöfen und an Bahnsteigen, Ladeaufsicht, Zugvorbereitung und Zugabfertigung, Fahrdienst- und Rangierdienstleitung, Lokrangierdienst,</w:t>
      </w:r>
    </w:p>
    <w:p>
      <w:pPr>
        <w:ind w:left="420"/>
      </w:pPr>
      <w:r>
        <w:t xml:space="preserve">2. Serviceleistungen eines Verkehrsunternehmens in Bahnhöfen, Reisezentren und in Zügen und</w:t>
      </w:r>
    </w:p>
    <w:p>
      <w:pPr>
        <w:ind w:left="420"/>
      </w:pPr>
      <w:r>
        <w:t xml:space="preserve">3. Sachbearbeitung, insbesondere Einkauf, Verkauf, Disposition, Verwaltung.</w:t>
      </w:r>
    </w:p>
    <w:p>
      <w:r>
        <w:t xml:space="preserve">Nach entsprechender Verwendungsfortbildung können auch andere Funktionen übertragen werden, soweit diese im Funktionszusammenhang stehen oder sonst dem mittleren Dienst zugeordnet werden können.</w:t>
      </w:r>
    </w:p>
    <w:p>
      <w:r>
        <w:t xml:space="preserve">(4) Die Übernahme in die Laufbahn der Bundesbahnsekretärinnen und Bundesbahnsekretäre erfolgt ausschließlich durch einen Laufbahnwechsel nach § 14, durch Aufstieg von Beamtinnen und Beamten der Laufbahn der Betriebsaufseherinnen und Betriebsaufseher nach den §§ 18 und 19 oder durch Übernahme nach § 20.</w:t>
      </w:r>
    </w:p>
    <w:p>
      <w:r>
        <w:rPr>
          <w:color w:val="555555"/>
          <w:sz w:val="17"/>
        </w:rPr>
        <w:t xml:space="preserve">Zitiervorschlag: § 8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