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ELV 2004 — Laufbahnen, Ämter</w:t>
      </w:r>
    </w:p>
    <w:p>
      <w:r>
        <w:rPr>
          <w:color w:val="555555"/>
          <w:sz w:val="18"/>
        </w:rPr>
        <w:t xml:space="preserve">Eisenbahn-Laufbahnverordnung</w:t>
      </w:r>
    </w:p>
    <w:p>
      <w:r>
        <w:rPr>
          <w:color w:val="555555"/>
          <w:sz w:val="18"/>
        </w:rPr>
        <w:t xml:space="preserve">Stand: 10.06.2019 (konsolidierte Textfassung, kein amtliches Inkrafttretensdatum)</w:t>
      </w:r>
    </w:p>
    <w:p>
      <w:r>
        <w:t xml:space="preserve">(1) Die Laufbahnen beim Bundeseisenbahnvermögen für die Beamtinnen und Beamten im Geltungsbereich dieser Verordnung sind nach den Inhalten der bei der Gesellschaft auszuübenden Funktionen gestaltet. Die besonderen Vorschriften für die einzelnen Laufbahnen enthalten die §§ 5 bis 12. Die Laufbahnen derselben Laufbahngruppe gelten als gleichwertig.</w:t>
      </w:r>
    </w:p>
    <w:p>
      <w:r>
        <w:t xml:space="preserve">(2) Den Beamtinnen und Beamten stehen nach Eignung, Befähigung und fachlicher Leistung alle Ämter im Geltungsbereich und nach Maßgabe dieser Verordnung offen.</w:t>
      </w:r>
    </w:p>
    <w:p>
      <w:r>
        <w:t xml:space="preserve">(3) Die Ämter einer Laufbahn sind regelmäßig zu durchlaufen.</w:t>
      </w:r>
    </w:p>
    <w:p>
      <w:r>
        <w:rPr>
          <w:color w:val="555555"/>
          <w:sz w:val="17"/>
        </w:rPr>
        <w:t xml:space="preserve">Zitiervorschlag: § 4 ELV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https://recht.nulegal.eu/gesetze/ELV%202004/4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