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ELV 2004 — Leistungsgrundsatz, Förderung der Leistungsfähigkeit</w:t>
      </w:r>
    </w:p>
    <w:p>
      <w:r>
        <w:rPr>
          <w:color w:val="555555"/>
          <w:sz w:val="18"/>
        </w:rPr>
        <w:t xml:space="preserve">Eisenbahn-Laufbahnverordnung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Leistungsgrundsatz der Bundeslaufbahnverordnung gilt mit der Maßgabe, dass Eignung, Befähigung und fachliche Leistung an den Anforderungen der Gesellschaft gemessen werden.</w:t>
      </w:r>
    </w:p>
    <w:p>
      <w:r>
        <w:t xml:space="preserve">(2) Personalführungs- und Personalentwicklungsmaßnahmen zur Förderung der Leistungsfähigkeit und die Ausgestaltung von Personalentwicklungskonzepten obliegen der Gesellschaft.</w:t>
      </w:r>
    </w:p>
    <w:p>
      <w:r>
        <w:rPr>
          <w:color w:val="555555"/>
          <w:sz w:val="17"/>
        </w:rPr>
        <w:t xml:space="preserve">Zitiervorschlag: § 3 ELV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https://recht.nulegal.eu/gesetze/ELV%202004/3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