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ELV 2004 — Beförderung</w:t>
      </w:r>
    </w:p>
    <w:p>
      <w:r>
        <w:rPr>
          <w:color w:val="555555"/>
          <w:sz w:val="18"/>
        </w:rPr>
        <w:t xml:space="preserve">Eisenbahn-Laufbahnverordnung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Beurlaubung und Zuweisung stehen einer Beförderung im Rahmen einer regelmäßigen Laufbahnentwicklung nicht entgegen.</w:t>
      </w:r>
    </w:p>
    <w:p>
      <w:r>
        <w:t xml:space="preserve">(2) § 12 der Bundeslaufbahnverordnung in der Fassung der Bekanntmachung vom 2. Juli 2002 (BGBl. I S. 2459, 2671), die zuletzt durch Artikel 15 Absatz 28 des Gesetzes vom 5. Februar 2009 (BGBl. I S. 160) geändert worden ist, gilt mit der Maßgabe, dass Zeiten einer Beurlaubung und Zuweisung zu einer Gesellschaft als Dienstzeiten gelten.</w:t>
      </w:r>
    </w:p>
    <w:p>
      <w:r>
        <w:rPr>
          <w:color w:val="555555"/>
          <w:sz w:val="17"/>
        </w:rPr>
        <w:t xml:space="preserve">Zitiervorschlag: § 17 ELV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https://recht.nulegal.eu/gesetze/ELV%202004/17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