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ELV 2004 — Stellenausschreibung</w:t>
      </w:r>
    </w:p>
    <w:p>
      <w:r>
        <w:rPr>
          <w:color w:val="555555"/>
          <w:sz w:val="18"/>
        </w:rPr>
        <w:t xml:space="preserve">Eisenbahn-Laufbahnverordnung</w:t>
      </w:r>
    </w:p>
    <w:p>
      <w:r>
        <w:rPr>
          <w:color w:val="555555"/>
          <w:sz w:val="18"/>
        </w:rPr>
        <w:t xml:space="preserve">Stand: 10.06.2019 (konsolidierte Textfassung, kein amtliches Inkrafttretensdatum)</w:t>
      </w:r>
    </w:p>
    <w:p>
      <w:r>
        <w:t xml:space="preserve">(1) Arbeitsplätze, die bei der Gesellschaft besetzt werden sollen, sind grundsätzlich auch für die in § 1 genannten Beamtinnen und Beamten auszuschreiben.</w:t>
      </w:r>
    </w:p>
    <w:p>
      <w:r>
        <w:t xml:space="preserve">(2) Zur Ausübung der ihr durch Rechtsvorschrift übertragenen Entscheidungen und Maßnahmen regelt die Gesellschaft Art und Umfang der Ausschreibung sowie das Stellenbesetzungsverfahren unter Wahrung der beamtenrechtlichen Grundsätze im Einvernehmen mit der obersten Dienstbehörde. § 93 des Betriebsverfassungsgesetzes bleibt unberührt.</w:t>
      </w:r>
    </w:p>
    <w:p>
      <w:r>
        <w:rPr>
          <w:color w:val="555555"/>
          <w:sz w:val="17"/>
        </w:rPr>
        <w:t xml:space="preserve">Zitiervorschlag: § 13 ELV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https://recht.nulegal.eu/gesetze/ELV%202004/13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