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EKrV 1</w:t>
      </w:r>
    </w:p>
    <w:p>
      <w:r>
        <w:rPr>
          <w:color w:val="555555"/>
          <w:sz w:val="18"/>
        </w:rPr>
        <w:t xml:space="preserve">1. Eisenbahnkreuzungsverordnung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16 Abs. 1 Nr. 1 des Eisenbahnkreuzungsgesetzes vom 14. August 1963 (Bundesgesetzbl. I S. 681) wird mit Zustimmung des Bundesrates verordnet:</w:t>
      </w:r>
    </w:p>
    <w:p>
      <w:r>
        <w:rPr>
          <w:color w:val="555555"/>
          <w:sz w:val="17"/>
        </w:rPr>
        <w:t xml:space="preserve">Zitiervorschlag: Eingangsformel EKrV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https://recht.nulegal.eu/gesetze/EKrV%201/eingangsformel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