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EKrV 1 — Übergangsregelung</w:t>
      </w:r>
    </w:p>
    <w:p>
      <w:r>
        <w:rPr>
          <w:color w:val="555555"/>
          <w:sz w:val="18"/>
        </w:rPr>
        <w:t xml:space="preserve">1. Eisenbahnkreuzungsverordnung</w:t>
      </w:r>
    </w:p>
    <w:p>
      <w:r>
        <w:rPr>
          <w:color w:val="555555"/>
          <w:sz w:val="18"/>
        </w:rPr>
        <w:t xml:space="preserve">Stand: 01.07.2021 (konsolidierte Textfassung, kein amtliches Inkrafttretensdatum)</w:t>
      </w:r>
    </w:p>
    <w:p>
      <w:r>
        <w:t xml:space="preserve">Für Maßnahmen, über die die Beteiligten vor dem Ablauf des 1. Juli 2021 eine Vereinbarung getroffen haben, ist diese Verordnung in der bis zum Ablauf des 30. Juni 2021 geltenden Fassung weiterhin anzuwenden.</w:t>
      </w:r>
    </w:p>
    <w:p>
      <w:r>
        <w:rPr>
          <w:color w:val="555555"/>
          <w:sz w:val="17"/>
        </w:rPr>
        <w:t xml:space="preserve">Zitiervorschlag: § 6 EKrV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https://recht.nulegal.eu/gesetze/EKrV%201/6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