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EKrV 1 — Verwaltungskosten</w:t>
      </w:r>
    </w:p>
    <w:p>
      <w:r>
        <w:rPr>
          <w:color w:val="555555"/>
          <w:sz w:val="18"/>
        </w:rPr>
        <w:t xml:space="preserve">1. Eisenbahnkreuzungsverordnung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(1) Zu den Verwaltungskosten gehören insbesondere die Aufwendungen für Leistungen nach Anlage 2.</w:t>
      </w:r>
    </w:p>
    <w:p>
      <w:r>
        <w:t xml:space="preserve">(2) Für die von ihm aufgewandten Verwaltungskosten kann jeder Beteiligte einen Pauschalbetrag in Höhe von 20 Prozent der von ihm aufgewandten Grunderwerbskosten und Baukosten in Rechnung stellen.</w:t>
      </w:r>
    </w:p>
    <w:p>
      <w:r>
        <w:rPr>
          <w:color w:val="555555"/>
          <w:sz w:val="17"/>
        </w:rPr>
        <w:t xml:space="preserve">Zitiervorschlag: § 5 EKrV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https://recht.nulegal.eu/gesetze/EKrV%201/5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