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EKrV 1 — Baukosten</w:t>
      </w:r>
    </w:p>
    <w:p>
      <w:r>
        <w:rPr>
          <w:color w:val="555555"/>
          <w:sz w:val="18"/>
        </w:rPr>
        <w:t xml:space="preserve">1. Eisenbahnkreuzungsverordnung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(1) Zu den Baukosten gehören insbesondere die Aufwendungen für Leistungen nach Anlage 1.</w:t>
      </w:r>
    </w:p>
    <w:p>
      <w:r>
        <w:t xml:space="preserve">(2) Führt ein Beteiligter Bauleistungen selbst durch, so kann er als Baukosten in Rechnung stellen</w:t>
      </w:r>
    </w:p>
    <w:p>
      <w:pPr>
        <w:ind w:left="420"/>
      </w:pPr>
      <w:r>
        <w:t xml:space="preserve">1. Gehälter und Dienstbezüge (Personalkosten) mit einem Zuschlag von 100 Prozent; bei der Berechnung der Personalkosten können Durchschnittssätze zugrunde gelegt werden;</w:t>
      </w:r>
    </w:p>
    <w:p>
      <w:pPr>
        <w:ind w:left="420"/>
      </w:pPr>
      <w:r>
        <w:t xml:space="preserve">2. für den Einsatz größerer Geräte die nach betriebswirtschaftlichen Grundsätzen zu errechnenden Kosten; die Stellung von Werkzeug und Kleingeräten ist mit den Zuschlägen nach Nummer 1 abgegolten.</w:t>
      </w:r>
    </w:p>
    <w:p>
      <w:r>
        <w:t xml:space="preserve">(3) Beschafft ein Beteiligter Stoffe selbst, so kann er als Baukosten die Stoffkosten nach dem Marktpreis mit einem Zuschlag von 10 Prozent in Rechnung stellen.</w:t>
      </w:r>
    </w:p>
    <w:p>
      <w:r>
        <w:t xml:space="preserve">(4) Mit eigenen Transportmitteln erbrachte Beförderungsleistungen sind nach den Selbstkosten abzurechnen. Soweit im Schienenverkehr Tarife bestehen, sind diese anzuwenden.</w:t>
      </w:r>
    </w:p>
    <w:p>
      <w:r>
        <w:t xml:space="preserve">(5) (weggefallen)</w:t>
      </w:r>
    </w:p>
    <w:p>
      <w:r>
        <w:rPr>
          <w:color w:val="555555"/>
          <w:sz w:val="17"/>
        </w:rPr>
        <w:t xml:space="preserve">Zitiervorschlag: § 4 EKrV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https://recht.nulegal.eu/gesetze/EKrV%201/4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